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4C41"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21C328E"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2ECC3C5E"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bidi="hi-IN"/>
        </w:rPr>
        <mc:AlternateContent>
          <mc:Choice Requires="wps">
            <w:drawing>
              <wp:anchor distT="0" distB="0" distL="114300" distR="114300" simplePos="0" relativeHeight="251656704" behindDoc="0" locked="0" layoutInCell="1" allowOverlap="1" wp14:anchorId="72277FC5" wp14:editId="705DA8D7">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E23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6C34A04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9F51A6F" w14:textId="77777777" w:rsidR="00922C3B" w:rsidRPr="009F3875" w:rsidRDefault="00922C3B" w:rsidP="000A176D">
      <w:pPr>
        <w:shd w:val="clear" w:color="auto" w:fill="FFFFFF"/>
        <w:ind w:left="14"/>
        <w:jc w:val="both"/>
        <w:rPr>
          <w:b/>
          <w:bCs/>
          <w:u w:val="single"/>
        </w:rPr>
      </w:pPr>
    </w:p>
    <w:p w14:paraId="0B03E3FA" w14:textId="77777777" w:rsidR="00922C3B" w:rsidRPr="009F3875" w:rsidRDefault="00922C3B" w:rsidP="000A176D">
      <w:pPr>
        <w:shd w:val="clear" w:color="auto" w:fill="FFFFFF"/>
        <w:ind w:left="14"/>
        <w:jc w:val="both"/>
        <w:rPr>
          <w:b/>
          <w:bCs/>
          <w:u w:val="single"/>
        </w:rPr>
      </w:pPr>
    </w:p>
    <w:p w14:paraId="2F4DA48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bidi="hi-IN"/>
        </w:rPr>
        <w:drawing>
          <wp:inline distT="0" distB="0" distL="0" distR="0" wp14:anchorId="54233F1C" wp14:editId="6738EA83">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6516D9" w14:textId="77777777" w:rsidR="00A34EB1" w:rsidRPr="009F3875" w:rsidRDefault="00A34EB1" w:rsidP="000A176D">
      <w:pPr>
        <w:shd w:val="clear" w:color="auto" w:fill="FFFFFF"/>
        <w:ind w:left="14"/>
        <w:jc w:val="both"/>
        <w:rPr>
          <w:b/>
          <w:bCs/>
          <w:u w:val="single"/>
        </w:rPr>
      </w:pPr>
    </w:p>
    <w:p w14:paraId="782A3ACD" w14:textId="77777777" w:rsidR="00A34EB1" w:rsidRPr="009F3875" w:rsidRDefault="00A34EB1" w:rsidP="000A176D">
      <w:pPr>
        <w:shd w:val="clear" w:color="auto" w:fill="FFFFFF"/>
        <w:ind w:left="14"/>
        <w:jc w:val="both"/>
        <w:rPr>
          <w:b/>
          <w:bCs/>
          <w:u w:val="single"/>
        </w:rPr>
      </w:pPr>
    </w:p>
    <w:p w14:paraId="071EBE9E" w14:textId="77777777" w:rsidR="00A34EB1" w:rsidRPr="009F3875" w:rsidRDefault="00A34EB1" w:rsidP="000A176D">
      <w:pPr>
        <w:shd w:val="clear" w:color="auto" w:fill="FFFFFF"/>
        <w:ind w:left="14"/>
        <w:jc w:val="both"/>
        <w:rPr>
          <w:b/>
          <w:bCs/>
          <w:u w:val="single"/>
        </w:rPr>
      </w:pPr>
    </w:p>
    <w:p w14:paraId="4183557E" w14:textId="77777777" w:rsidR="00A34EB1" w:rsidRPr="009F3875" w:rsidRDefault="00A34EB1" w:rsidP="000A176D">
      <w:pPr>
        <w:shd w:val="clear" w:color="auto" w:fill="FFFFFF"/>
        <w:ind w:left="14"/>
        <w:jc w:val="both"/>
        <w:rPr>
          <w:b/>
          <w:bCs/>
          <w:u w:val="single"/>
        </w:rPr>
      </w:pPr>
    </w:p>
    <w:p w14:paraId="66738F0C"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7DE4ECFF" w14:textId="4A9D728C" w:rsidR="00512B24" w:rsidRDefault="004E2FAE" w:rsidP="004E2FAE">
      <w:pPr>
        <w:rPr>
          <w:color w:val="FF0000"/>
          <w:spacing w:val="-1"/>
          <w:sz w:val="72"/>
          <w:szCs w:val="48"/>
        </w:rPr>
      </w:pPr>
      <w:bookmarkStart w:id="0" w:name="_Hlk14798841"/>
      <w:r w:rsidRPr="004E2FAE">
        <w:rPr>
          <w:color w:val="FF0000"/>
          <w:spacing w:val="-1"/>
          <w:sz w:val="72"/>
          <w:szCs w:val="48"/>
        </w:rPr>
        <w:t>Sustainably Growing Corporate of the Year</w:t>
      </w:r>
    </w:p>
    <w:p w14:paraId="15404CCA" w14:textId="77777777" w:rsidR="00512B24" w:rsidRDefault="00512B24" w:rsidP="004E2FAE">
      <w:pPr>
        <w:rPr>
          <w:color w:val="FF0000"/>
          <w:spacing w:val="-1"/>
          <w:sz w:val="72"/>
          <w:szCs w:val="48"/>
        </w:rPr>
      </w:pPr>
    </w:p>
    <w:p w14:paraId="091F9451" w14:textId="58D392A4"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14:paraId="453C3DF7" w14:textId="77777777" w:rsidR="004E2FAE" w:rsidRDefault="004E2FAE" w:rsidP="00794779">
      <w:pPr>
        <w:jc w:val="both"/>
        <w:outlineLvl w:val="0"/>
        <w:rPr>
          <w:spacing w:val="-1"/>
          <w:sz w:val="32"/>
          <w:szCs w:val="46"/>
        </w:rPr>
      </w:pPr>
    </w:p>
    <w:p w14:paraId="33221016"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CCFF049" w14:textId="77777777" w:rsidR="00A34EB1" w:rsidRPr="004E2FAE" w:rsidRDefault="0024430B" w:rsidP="000A176D">
      <w:pPr>
        <w:jc w:val="both"/>
        <w:rPr>
          <w:b/>
          <w:bCs/>
          <w:spacing w:val="-1"/>
          <w:sz w:val="28"/>
          <w:szCs w:val="36"/>
        </w:rPr>
      </w:pPr>
      <w:r w:rsidRPr="004E2FAE">
        <w:rPr>
          <w:b/>
          <w:bCs/>
          <w:spacing w:val="-1"/>
          <w:sz w:val="28"/>
          <w:szCs w:val="36"/>
        </w:rPr>
        <w:t>August</w:t>
      </w:r>
      <w:r w:rsidR="005D1661" w:rsidRPr="004E2FAE">
        <w:rPr>
          <w:b/>
          <w:bCs/>
          <w:spacing w:val="-1"/>
          <w:sz w:val="28"/>
          <w:szCs w:val="36"/>
        </w:rPr>
        <w:t xml:space="preserve"> </w:t>
      </w:r>
      <w:r w:rsidR="00DD2CAB" w:rsidRPr="004E2FAE">
        <w:rPr>
          <w:b/>
          <w:bCs/>
          <w:spacing w:val="-1"/>
          <w:sz w:val="28"/>
          <w:szCs w:val="36"/>
        </w:rPr>
        <w:t>31</w:t>
      </w:r>
      <w:r w:rsidR="00C567AD" w:rsidRPr="004E2FAE">
        <w:rPr>
          <w:b/>
          <w:bCs/>
          <w:spacing w:val="-1"/>
          <w:sz w:val="28"/>
          <w:szCs w:val="36"/>
        </w:rPr>
        <w:t xml:space="preserve">, </w:t>
      </w:r>
      <w:r w:rsidR="00F63D77" w:rsidRPr="004E2FAE">
        <w:rPr>
          <w:b/>
          <w:bCs/>
          <w:spacing w:val="-1"/>
          <w:sz w:val="28"/>
          <w:szCs w:val="36"/>
        </w:rPr>
        <w:t>201</w:t>
      </w:r>
      <w:r w:rsidRPr="004E2FAE">
        <w:rPr>
          <w:b/>
          <w:bCs/>
          <w:spacing w:val="-1"/>
          <w:sz w:val="28"/>
          <w:szCs w:val="36"/>
        </w:rPr>
        <w:t>9</w:t>
      </w:r>
    </w:p>
    <w:p w14:paraId="104207A0" w14:textId="77777777" w:rsidR="002119BA" w:rsidRPr="004E2FAE" w:rsidRDefault="002119BA" w:rsidP="000A176D">
      <w:pPr>
        <w:jc w:val="both"/>
        <w:rPr>
          <w:spacing w:val="-1"/>
          <w:sz w:val="28"/>
          <w:szCs w:val="36"/>
        </w:rPr>
      </w:pPr>
    </w:p>
    <w:p w14:paraId="502B3634" w14:textId="77777777" w:rsidR="004E2FAE" w:rsidRDefault="004E2FAE" w:rsidP="004F5D94">
      <w:pPr>
        <w:jc w:val="both"/>
        <w:outlineLvl w:val="0"/>
        <w:rPr>
          <w:spacing w:val="-1"/>
          <w:sz w:val="22"/>
          <w:szCs w:val="36"/>
        </w:rPr>
      </w:pPr>
    </w:p>
    <w:p w14:paraId="24CB41C2" w14:textId="77777777" w:rsidR="004E2FAE" w:rsidRDefault="004E2FAE" w:rsidP="004F5D94">
      <w:pPr>
        <w:jc w:val="both"/>
        <w:outlineLvl w:val="0"/>
        <w:rPr>
          <w:spacing w:val="-1"/>
          <w:sz w:val="22"/>
          <w:szCs w:val="36"/>
        </w:rPr>
      </w:pPr>
    </w:p>
    <w:p w14:paraId="24A6734A" w14:textId="77777777" w:rsidR="004E2FAE" w:rsidRDefault="004E2FAE" w:rsidP="004F5D94">
      <w:pPr>
        <w:jc w:val="both"/>
        <w:outlineLvl w:val="0"/>
        <w:rPr>
          <w:spacing w:val="-1"/>
          <w:sz w:val="22"/>
          <w:szCs w:val="36"/>
        </w:rPr>
      </w:pPr>
    </w:p>
    <w:p w14:paraId="20A1A01F" w14:textId="77777777" w:rsidR="004E2FAE" w:rsidRDefault="004E2FAE" w:rsidP="004F5D94">
      <w:pPr>
        <w:jc w:val="both"/>
        <w:outlineLvl w:val="0"/>
        <w:rPr>
          <w:spacing w:val="-1"/>
          <w:sz w:val="22"/>
          <w:szCs w:val="36"/>
        </w:rPr>
      </w:pPr>
    </w:p>
    <w:p w14:paraId="73888E9D"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58D41691"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5B72AA7E" w14:textId="77777777" w:rsidR="001A4CE3" w:rsidRPr="009F3875" w:rsidRDefault="001A4CE3" w:rsidP="001A4CE3">
      <w:pPr>
        <w:rPr>
          <w:color w:val="000000"/>
          <w:spacing w:val="5"/>
          <w:sz w:val="34"/>
          <w:szCs w:val="34"/>
        </w:rPr>
      </w:pPr>
    </w:p>
    <w:p w14:paraId="59037A3D" w14:textId="77777777" w:rsidR="001A4CE3" w:rsidRPr="009F3875" w:rsidRDefault="001A4CE3" w:rsidP="001A4CE3">
      <w:pPr>
        <w:rPr>
          <w:color w:val="000000"/>
          <w:spacing w:val="5"/>
          <w:sz w:val="34"/>
          <w:szCs w:val="34"/>
        </w:rPr>
      </w:pPr>
    </w:p>
    <w:p w14:paraId="75756786"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1D5E3E8B" w14:textId="37DCE0FC"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4CA9A33C" w14:textId="72419D0E"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FF8990" w14:textId="6E4D3506" w:rsidR="00513307" w:rsidRDefault="00513307" w:rsidP="00513307">
      <w:pPr>
        <w:spacing w:after="120"/>
        <w:ind w:right="351"/>
        <w:rPr>
          <w:spacing w:val="5"/>
          <w:sz w:val="28"/>
          <w:szCs w:val="28"/>
        </w:rPr>
      </w:pPr>
    </w:p>
    <w:p w14:paraId="22F80D9C" w14:textId="212ED8D7" w:rsidR="00513307" w:rsidRDefault="00513307" w:rsidP="00513307">
      <w:pPr>
        <w:spacing w:after="120"/>
        <w:ind w:right="-221"/>
        <w:rPr>
          <w:spacing w:val="5"/>
          <w:sz w:val="28"/>
          <w:szCs w:val="28"/>
        </w:rPr>
      </w:pPr>
    </w:p>
    <w:p w14:paraId="1D41684E" w14:textId="714B34A7" w:rsidR="00513307" w:rsidRDefault="00513307" w:rsidP="00513307">
      <w:pPr>
        <w:spacing w:after="120"/>
        <w:ind w:right="351"/>
        <w:rPr>
          <w:spacing w:val="5"/>
          <w:sz w:val="28"/>
          <w:szCs w:val="28"/>
        </w:rPr>
      </w:pPr>
    </w:p>
    <w:p w14:paraId="6D2FCCF9" w14:textId="5DD75248" w:rsidR="00513307" w:rsidRDefault="00513307" w:rsidP="00513307">
      <w:pPr>
        <w:spacing w:after="120"/>
        <w:ind w:right="351"/>
        <w:rPr>
          <w:spacing w:val="5"/>
          <w:sz w:val="28"/>
          <w:szCs w:val="28"/>
        </w:rPr>
      </w:pPr>
    </w:p>
    <w:p w14:paraId="287C8EAA" w14:textId="77777777" w:rsidR="00513307" w:rsidRDefault="00513307" w:rsidP="00513307">
      <w:pPr>
        <w:spacing w:after="120"/>
        <w:ind w:right="351"/>
        <w:rPr>
          <w:spacing w:val="5"/>
          <w:sz w:val="28"/>
          <w:szCs w:val="28"/>
        </w:rPr>
      </w:pPr>
    </w:p>
    <w:p w14:paraId="261F3ACD" w14:textId="50B0225D" w:rsidR="00513307" w:rsidRDefault="00513307"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0E0582" wp14:editId="55EE91DE">
                <wp:simplePos x="0" y="0"/>
                <wp:positionH relativeFrom="column">
                  <wp:posOffset>356870</wp:posOffset>
                </wp:positionH>
                <wp:positionV relativeFrom="paragraph">
                  <wp:posOffset>40640</wp:posOffset>
                </wp:positionV>
                <wp:extent cx="4953000" cy="155257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699416"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4162F2BF" w14:textId="77777777" w:rsidR="00513307" w:rsidRPr="00512E01" w:rsidRDefault="00513307" w:rsidP="00513307">
                            <w:pPr>
                              <w:jc w:val="both"/>
                              <w:rPr>
                                <w:rFonts w:ascii="Verdana" w:hAnsi="Verdana"/>
                                <w:color w:val="000000" w:themeColor="text1"/>
                              </w:rPr>
                            </w:pPr>
                          </w:p>
                          <w:p w14:paraId="0C0772AA" w14:textId="3F055433"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E0582" id="Rectangle: Rounded Corners 26" o:spid="_x0000_s1026" style="position:absolute;margin-left:28.1pt;margin-top:3.2pt;width:390pt;height:122.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" fillcolor="white [3212]" strokecolor="#243f60 [1604]" strokeweight="2pt">
                <v:textbox>
                  <w:txbxContent>
                    <w:p w14:paraId="64699416"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4162F2BF" w14:textId="77777777" w:rsidR="00513307" w:rsidRPr="00512E01" w:rsidRDefault="00513307" w:rsidP="00513307">
                      <w:pPr>
                        <w:jc w:val="both"/>
                        <w:rPr>
                          <w:rFonts w:ascii="Verdana" w:hAnsi="Verdana"/>
                          <w:color w:val="000000" w:themeColor="text1"/>
                        </w:rPr>
                      </w:pPr>
                    </w:p>
                    <w:p w14:paraId="0C0772AA" w14:textId="3F055433"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v:textbox>
              </v:roundrect>
            </w:pict>
          </mc:Fallback>
        </mc:AlternateContent>
      </w:r>
    </w:p>
    <w:p w14:paraId="3CC1C6E9" w14:textId="70F8A7EA" w:rsidR="00513307" w:rsidRDefault="00513307" w:rsidP="00513307">
      <w:pPr>
        <w:spacing w:after="120"/>
        <w:ind w:right="351"/>
        <w:rPr>
          <w:spacing w:val="5"/>
          <w:sz w:val="28"/>
          <w:szCs w:val="28"/>
        </w:rPr>
      </w:pPr>
    </w:p>
    <w:p w14:paraId="0E4EC2F5" w14:textId="2FAEFDED" w:rsidR="00513307" w:rsidRDefault="00513307" w:rsidP="00513307">
      <w:pPr>
        <w:spacing w:after="120"/>
        <w:ind w:right="351"/>
        <w:rPr>
          <w:spacing w:val="5"/>
          <w:sz w:val="28"/>
          <w:szCs w:val="28"/>
        </w:rPr>
      </w:pPr>
    </w:p>
    <w:p w14:paraId="71A84B4D" w14:textId="7E0D43BD" w:rsidR="00513307" w:rsidRDefault="00513307" w:rsidP="00513307">
      <w:pPr>
        <w:spacing w:after="120"/>
        <w:ind w:right="351"/>
        <w:rPr>
          <w:spacing w:val="5"/>
          <w:sz w:val="28"/>
          <w:szCs w:val="28"/>
        </w:rPr>
      </w:pPr>
    </w:p>
    <w:p w14:paraId="05EDB846" w14:textId="12E6DBF0" w:rsidR="00513307" w:rsidRDefault="00513307" w:rsidP="00513307">
      <w:pPr>
        <w:spacing w:after="120"/>
        <w:ind w:right="351"/>
        <w:rPr>
          <w:spacing w:val="5"/>
          <w:sz w:val="28"/>
          <w:szCs w:val="28"/>
        </w:rPr>
      </w:pPr>
    </w:p>
    <w:p w14:paraId="32403622" w14:textId="65678D99" w:rsidR="00513307" w:rsidRDefault="00513307" w:rsidP="00513307">
      <w:pPr>
        <w:spacing w:after="120"/>
        <w:ind w:right="351"/>
        <w:rPr>
          <w:sz w:val="40"/>
        </w:rPr>
      </w:pPr>
    </w:p>
    <w:p w14:paraId="22E8111C" w14:textId="77777777" w:rsidR="00513307" w:rsidRDefault="00513307" w:rsidP="00513307">
      <w:pPr>
        <w:jc w:val="both"/>
        <w:outlineLvl w:val="0"/>
        <w:rPr>
          <w:sz w:val="40"/>
        </w:rPr>
      </w:pPr>
    </w:p>
    <w:p w14:paraId="3BE5309F" w14:textId="77777777" w:rsidR="00513307" w:rsidRDefault="00513307" w:rsidP="00513307">
      <w:pPr>
        <w:jc w:val="both"/>
        <w:outlineLvl w:val="0"/>
        <w:rPr>
          <w:sz w:val="40"/>
        </w:rPr>
      </w:pPr>
    </w:p>
    <w:p w14:paraId="58E9856B" w14:textId="77777777" w:rsidR="00513307" w:rsidRDefault="00513307" w:rsidP="00513307">
      <w:pPr>
        <w:outlineLvl w:val="0"/>
        <w:rPr>
          <w:sz w:val="28"/>
          <w:szCs w:val="28"/>
        </w:rPr>
      </w:pPr>
    </w:p>
    <w:p w14:paraId="2F7A81C4" w14:textId="77777777" w:rsidR="00513307" w:rsidRDefault="00513307" w:rsidP="00513307">
      <w:pPr>
        <w:outlineLvl w:val="0"/>
        <w:rPr>
          <w:sz w:val="28"/>
          <w:szCs w:val="28"/>
        </w:rPr>
      </w:pPr>
    </w:p>
    <w:p w14:paraId="322B397E" w14:textId="77777777" w:rsidR="00513307" w:rsidRDefault="00513307" w:rsidP="00513307">
      <w:pPr>
        <w:outlineLvl w:val="0"/>
        <w:rPr>
          <w:sz w:val="28"/>
          <w:szCs w:val="28"/>
        </w:rPr>
      </w:pPr>
    </w:p>
    <w:p w14:paraId="7DF979A5" w14:textId="77777777" w:rsidR="00513307" w:rsidRDefault="00513307" w:rsidP="00513307">
      <w:pPr>
        <w:outlineLvl w:val="0"/>
        <w:rPr>
          <w:sz w:val="28"/>
          <w:szCs w:val="28"/>
        </w:rPr>
      </w:pPr>
    </w:p>
    <w:p w14:paraId="6FF10C40" w14:textId="77777777" w:rsidR="00513307" w:rsidRDefault="00513307" w:rsidP="00513307">
      <w:pPr>
        <w:outlineLvl w:val="0"/>
        <w:rPr>
          <w:sz w:val="28"/>
          <w:szCs w:val="28"/>
        </w:rPr>
      </w:pPr>
    </w:p>
    <w:p w14:paraId="1AFB198B" w14:textId="77777777" w:rsidR="00513307" w:rsidRDefault="00513307" w:rsidP="00513307">
      <w:pPr>
        <w:outlineLvl w:val="0"/>
        <w:rPr>
          <w:sz w:val="28"/>
          <w:szCs w:val="28"/>
        </w:rPr>
      </w:pPr>
    </w:p>
    <w:p w14:paraId="6287083F" w14:textId="0D6FF448" w:rsidR="00513307" w:rsidRDefault="00513307" w:rsidP="00513307">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0E8FC585" w14:textId="77777777" w:rsidR="00513307" w:rsidRPr="009F3875" w:rsidRDefault="00513307" w:rsidP="00923D56">
      <w:pPr>
        <w:shd w:val="clear" w:color="auto" w:fill="FFFFFF"/>
        <w:ind w:left="14"/>
        <w:rPr>
          <w:color w:val="000000"/>
          <w:spacing w:val="5"/>
          <w:sz w:val="34"/>
          <w:szCs w:val="34"/>
        </w:rPr>
      </w:pPr>
    </w:p>
    <w:p w14:paraId="6F2515A0" w14:textId="77777777" w:rsidR="001A4CE3" w:rsidRPr="009F3875" w:rsidRDefault="001A4CE3" w:rsidP="00923D56">
      <w:pPr>
        <w:shd w:val="clear" w:color="auto" w:fill="FFFFFF"/>
        <w:ind w:left="14"/>
        <w:rPr>
          <w:color w:val="000000"/>
          <w:spacing w:val="5"/>
          <w:sz w:val="34"/>
          <w:szCs w:val="34"/>
        </w:rPr>
      </w:pPr>
    </w:p>
    <w:p w14:paraId="7CBB88BE"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481F63D4" w14:textId="14002437" w:rsidR="0015579D" w:rsidRDefault="0015579D" w:rsidP="0015579D">
      <w:pPr>
        <w:jc w:val="both"/>
      </w:pPr>
    </w:p>
    <w:p w14:paraId="07F65763" w14:textId="77777777" w:rsidR="0015579D" w:rsidRDefault="0015579D" w:rsidP="0015579D">
      <w:pPr>
        <w:jc w:val="both"/>
        <w:sectPr w:rsidR="0015579D"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218087DB" w14:textId="62057F6D" w:rsidR="0015579D" w:rsidRDefault="0015579D" w:rsidP="0015579D">
      <w:pPr>
        <w:jc w:val="both"/>
        <w:sectPr w:rsidR="0015579D" w:rsidSect="0015579D">
          <w:type w:val="continuous"/>
          <w:pgSz w:w="11909" w:h="16834" w:code="9"/>
          <w:pgMar w:top="2520" w:right="1440" w:bottom="1440" w:left="1627" w:header="720" w:footer="576" w:gutter="0"/>
          <w:cols w:space="720"/>
          <w:titlePg/>
          <w:docGrid w:linePitch="360"/>
        </w:sectPr>
      </w:pPr>
    </w:p>
    <w:p w14:paraId="5AE898F3" w14:textId="77777777" w:rsidR="0015579D" w:rsidRDefault="0015579D" w:rsidP="0015579D">
      <w:pPr>
        <w:jc w:val="both"/>
      </w:pPr>
    </w:p>
    <w:p w14:paraId="211F20C7" w14:textId="77777777" w:rsidR="009E0080" w:rsidRPr="009F3875" w:rsidRDefault="009E0080" w:rsidP="00794779">
      <w:pPr>
        <w:jc w:val="both"/>
        <w:outlineLvl w:val="0"/>
        <w:rPr>
          <w:sz w:val="40"/>
        </w:rPr>
      </w:pPr>
      <w:r w:rsidRPr="009F3875">
        <w:rPr>
          <w:sz w:val="40"/>
        </w:rPr>
        <w:t>Questionnaire</w:t>
      </w:r>
    </w:p>
    <w:p w14:paraId="42392EFC"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39D66964" w14:textId="77777777" w:rsidTr="00B625E7">
        <w:tc>
          <w:tcPr>
            <w:tcW w:w="4611" w:type="dxa"/>
          </w:tcPr>
          <w:p w14:paraId="26CC5855"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0865861B" w14:textId="77777777" w:rsidR="00C4631D" w:rsidRPr="009F3875" w:rsidRDefault="00C4631D" w:rsidP="000A176D">
            <w:pPr>
              <w:pStyle w:val="BodyText"/>
              <w:jc w:val="both"/>
              <w:rPr>
                <w:lang w:val="en-US"/>
              </w:rPr>
            </w:pPr>
          </w:p>
        </w:tc>
      </w:tr>
      <w:tr w:rsidR="00C4631D" w:rsidRPr="009F3875" w14:paraId="6B5306FA" w14:textId="77777777" w:rsidTr="00B625E7">
        <w:tc>
          <w:tcPr>
            <w:tcW w:w="4611" w:type="dxa"/>
          </w:tcPr>
          <w:p w14:paraId="7195E1EA" w14:textId="77777777" w:rsidR="00C4631D" w:rsidRPr="009F3875" w:rsidRDefault="00C4631D" w:rsidP="000A176D">
            <w:pPr>
              <w:pStyle w:val="BodyText"/>
              <w:jc w:val="both"/>
              <w:rPr>
                <w:lang w:val="en-US"/>
              </w:rPr>
            </w:pPr>
            <w:r w:rsidRPr="009F3875">
              <w:rPr>
                <w:lang w:val="en-US"/>
              </w:rPr>
              <w:t xml:space="preserve">Mailing Address: </w:t>
            </w:r>
          </w:p>
          <w:p w14:paraId="1E08BDE1" w14:textId="77777777" w:rsidR="00C4631D" w:rsidRPr="009F3875" w:rsidRDefault="00C4631D" w:rsidP="000A176D">
            <w:pPr>
              <w:pStyle w:val="BodyText"/>
              <w:jc w:val="both"/>
              <w:rPr>
                <w:lang w:val="en-US"/>
              </w:rPr>
            </w:pPr>
          </w:p>
        </w:tc>
        <w:tc>
          <w:tcPr>
            <w:tcW w:w="4245" w:type="dxa"/>
          </w:tcPr>
          <w:p w14:paraId="50691B8E" w14:textId="77777777" w:rsidR="00C4631D" w:rsidRPr="009F3875" w:rsidRDefault="00C4631D" w:rsidP="000A176D">
            <w:pPr>
              <w:pStyle w:val="BodyText"/>
              <w:jc w:val="both"/>
              <w:rPr>
                <w:lang w:val="en-US"/>
              </w:rPr>
            </w:pPr>
          </w:p>
        </w:tc>
      </w:tr>
      <w:tr w:rsidR="00C4631D" w:rsidRPr="009F3875" w14:paraId="613542B5" w14:textId="77777777" w:rsidTr="00B625E7">
        <w:tc>
          <w:tcPr>
            <w:tcW w:w="4611" w:type="dxa"/>
          </w:tcPr>
          <w:p w14:paraId="6B3F9057" w14:textId="77777777" w:rsidR="00C4631D" w:rsidRPr="009F3875" w:rsidRDefault="00C4631D" w:rsidP="000A176D">
            <w:pPr>
              <w:jc w:val="both"/>
            </w:pPr>
          </w:p>
        </w:tc>
        <w:tc>
          <w:tcPr>
            <w:tcW w:w="4245" w:type="dxa"/>
          </w:tcPr>
          <w:p w14:paraId="00914CA0" w14:textId="77777777" w:rsidR="00C4631D" w:rsidRPr="009F3875" w:rsidRDefault="00C4631D" w:rsidP="000A176D">
            <w:pPr>
              <w:jc w:val="both"/>
            </w:pPr>
          </w:p>
        </w:tc>
      </w:tr>
      <w:tr w:rsidR="00C4631D" w:rsidRPr="009F3875" w14:paraId="63FA3EBF" w14:textId="77777777" w:rsidTr="00B625E7">
        <w:tc>
          <w:tcPr>
            <w:tcW w:w="4611" w:type="dxa"/>
          </w:tcPr>
          <w:p w14:paraId="534CF684" w14:textId="404F3CF4" w:rsidR="00C4631D" w:rsidRPr="009F3875" w:rsidRDefault="00C4631D" w:rsidP="000A176D">
            <w:pPr>
              <w:pStyle w:val="BodyText"/>
              <w:jc w:val="both"/>
              <w:rPr>
                <w:lang w:val="en-US"/>
              </w:rPr>
            </w:pPr>
            <w:r w:rsidRPr="009F3875">
              <w:rPr>
                <w:lang w:val="en-US"/>
              </w:rPr>
              <w:t xml:space="preserve">Name of </w:t>
            </w:r>
            <w:r w:rsidR="00755051">
              <w:rPr>
                <w:lang w:val="en-US"/>
              </w:rPr>
              <w:t xml:space="preserve">the </w:t>
            </w:r>
            <w:r w:rsidRPr="009F3875">
              <w:rPr>
                <w:lang w:val="en-US"/>
              </w:rPr>
              <w:t>approving authority</w:t>
            </w:r>
            <w:r w:rsidR="00851D1D" w:rsidRPr="009F3875">
              <w:rPr>
                <w:lang w:val="en-US"/>
              </w:rPr>
              <w:t>:</w:t>
            </w:r>
          </w:p>
          <w:p w14:paraId="4A9A0650" w14:textId="61C598FD"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11F0F52B" w14:textId="77777777" w:rsidR="00C4631D" w:rsidRPr="009F3875" w:rsidRDefault="00C4631D" w:rsidP="000A176D">
            <w:pPr>
              <w:pStyle w:val="BodyText"/>
              <w:jc w:val="both"/>
              <w:rPr>
                <w:b/>
                <w:lang w:val="en-US"/>
              </w:rPr>
            </w:pPr>
          </w:p>
        </w:tc>
      </w:tr>
      <w:tr w:rsidR="00C4631D" w:rsidRPr="009F3875" w14:paraId="078194CD" w14:textId="77777777" w:rsidTr="00B625E7">
        <w:tc>
          <w:tcPr>
            <w:tcW w:w="4611" w:type="dxa"/>
          </w:tcPr>
          <w:p w14:paraId="12461435" w14:textId="77777777" w:rsidR="00C4631D" w:rsidRPr="009F3875" w:rsidRDefault="00C4631D" w:rsidP="000A176D">
            <w:pPr>
              <w:jc w:val="both"/>
            </w:pPr>
            <w:r w:rsidRPr="009F3875">
              <w:t xml:space="preserve">Title: </w:t>
            </w:r>
          </w:p>
        </w:tc>
        <w:tc>
          <w:tcPr>
            <w:tcW w:w="4245" w:type="dxa"/>
          </w:tcPr>
          <w:p w14:paraId="25820188" w14:textId="77777777" w:rsidR="00C4631D" w:rsidRPr="009F3875" w:rsidRDefault="00C4631D" w:rsidP="000A176D">
            <w:pPr>
              <w:jc w:val="both"/>
            </w:pPr>
          </w:p>
        </w:tc>
      </w:tr>
      <w:tr w:rsidR="00C4631D" w:rsidRPr="009F3875" w14:paraId="12DD0382" w14:textId="77777777" w:rsidTr="00B625E7">
        <w:tc>
          <w:tcPr>
            <w:tcW w:w="4611" w:type="dxa"/>
          </w:tcPr>
          <w:p w14:paraId="11364083" w14:textId="77777777" w:rsidR="00C4631D" w:rsidRPr="009F3875" w:rsidRDefault="00C4631D" w:rsidP="000A176D">
            <w:pPr>
              <w:jc w:val="both"/>
            </w:pPr>
            <w:r w:rsidRPr="009F3875">
              <w:t xml:space="preserve">Phone number: </w:t>
            </w:r>
          </w:p>
        </w:tc>
        <w:tc>
          <w:tcPr>
            <w:tcW w:w="4245" w:type="dxa"/>
          </w:tcPr>
          <w:p w14:paraId="6955925E" w14:textId="77777777" w:rsidR="00C4631D" w:rsidRPr="009F3875" w:rsidRDefault="00C4631D" w:rsidP="000A176D">
            <w:pPr>
              <w:jc w:val="both"/>
            </w:pPr>
          </w:p>
        </w:tc>
      </w:tr>
      <w:tr w:rsidR="00C4631D" w:rsidRPr="009F3875" w14:paraId="622E8F4B" w14:textId="77777777" w:rsidTr="00B625E7">
        <w:tc>
          <w:tcPr>
            <w:tcW w:w="4611" w:type="dxa"/>
          </w:tcPr>
          <w:p w14:paraId="43DC4028" w14:textId="77777777" w:rsidR="00C4631D" w:rsidRPr="009F3875" w:rsidRDefault="00C4631D" w:rsidP="000A176D">
            <w:pPr>
              <w:jc w:val="both"/>
            </w:pPr>
            <w:r w:rsidRPr="009F3875">
              <w:t xml:space="preserve">E-mail address: </w:t>
            </w:r>
          </w:p>
        </w:tc>
        <w:tc>
          <w:tcPr>
            <w:tcW w:w="4245" w:type="dxa"/>
          </w:tcPr>
          <w:p w14:paraId="739625A1" w14:textId="77777777" w:rsidR="00C4631D" w:rsidRPr="009F3875" w:rsidRDefault="00C4631D" w:rsidP="000A176D">
            <w:pPr>
              <w:jc w:val="both"/>
            </w:pPr>
          </w:p>
        </w:tc>
      </w:tr>
      <w:tr w:rsidR="00C4631D" w:rsidRPr="009F3875" w14:paraId="5AC8DB98" w14:textId="77777777" w:rsidTr="00B625E7">
        <w:tc>
          <w:tcPr>
            <w:tcW w:w="4611" w:type="dxa"/>
          </w:tcPr>
          <w:p w14:paraId="2F3C0930" w14:textId="77777777" w:rsidR="00C4631D" w:rsidRPr="009F3875" w:rsidRDefault="00C4631D" w:rsidP="000A176D">
            <w:pPr>
              <w:pStyle w:val="BodyText"/>
              <w:jc w:val="both"/>
              <w:rPr>
                <w:lang w:val="en-US"/>
              </w:rPr>
            </w:pPr>
            <w:r w:rsidRPr="009F3875">
              <w:rPr>
                <w:lang w:val="en-US"/>
              </w:rPr>
              <w:t>Signature:</w:t>
            </w:r>
          </w:p>
          <w:p w14:paraId="2D394138" w14:textId="77777777" w:rsidR="00C4631D" w:rsidRPr="009F3875" w:rsidRDefault="00C4631D" w:rsidP="000A176D">
            <w:pPr>
              <w:pStyle w:val="BodyText"/>
              <w:jc w:val="both"/>
              <w:rPr>
                <w:b/>
                <w:lang w:val="en-US"/>
              </w:rPr>
            </w:pPr>
          </w:p>
        </w:tc>
        <w:tc>
          <w:tcPr>
            <w:tcW w:w="4245" w:type="dxa"/>
          </w:tcPr>
          <w:p w14:paraId="0887BF77" w14:textId="77777777" w:rsidR="00C4631D" w:rsidRPr="009F3875" w:rsidRDefault="00C4631D" w:rsidP="000A176D">
            <w:pPr>
              <w:pStyle w:val="BodyText"/>
              <w:jc w:val="both"/>
              <w:rPr>
                <w:b/>
                <w:lang w:val="en-US"/>
              </w:rPr>
            </w:pPr>
          </w:p>
        </w:tc>
      </w:tr>
      <w:tr w:rsidR="00C4631D" w:rsidRPr="009F3875" w14:paraId="1156E28B" w14:textId="77777777" w:rsidTr="00B625E7">
        <w:tc>
          <w:tcPr>
            <w:tcW w:w="4611" w:type="dxa"/>
          </w:tcPr>
          <w:p w14:paraId="669D4C3B" w14:textId="5CD9BC69"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 xml:space="preserve">of the person(s) </w:t>
            </w:r>
            <w:bookmarkStart w:id="1" w:name="_GoBack"/>
            <w:bookmarkEnd w:id="1"/>
            <w:r w:rsidRPr="009F3875">
              <w:rPr>
                <w:bCs/>
              </w:rPr>
              <w:t>who will be accepting the award if the applicant is chosen as the winner</w:t>
            </w:r>
            <w:r w:rsidR="00CE111D" w:rsidRPr="009F3875">
              <w:rPr>
                <w:bCs/>
              </w:rPr>
              <w:t>:</w:t>
            </w:r>
          </w:p>
        </w:tc>
        <w:tc>
          <w:tcPr>
            <w:tcW w:w="4245" w:type="dxa"/>
          </w:tcPr>
          <w:p w14:paraId="3B82507F" w14:textId="77777777" w:rsidR="00C4631D" w:rsidRPr="009F3875" w:rsidRDefault="00C4631D" w:rsidP="000A176D">
            <w:pPr>
              <w:pStyle w:val="BodyText"/>
              <w:jc w:val="both"/>
              <w:rPr>
                <w:b/>
                <w:lang w:val="en-US"/>
              </w:rPr>
            </w:pPr>
          </w:p>
        </w:tc>
      </w:tr>
    </w:tbl>
    <w:p w14:paraId="4D3DB022" w14:textId="725DDBC3" w:rsidR="00C930BC" w:rsidRDefault="00C930BC" w:rsidP="000A176D">
      <w:pPr>
        <w:jc w:val="both"/>
      </w:pPr>
    </w:p>
    <w:p w14:paraId="15C4BD8E" w14:textId="37A8B1D9" w:rsidR="00EF39E9" w:rsidRDefault="00EF39E9" w:rsidP="000A176D">
      <w:pPr>
        <w:jc w:val="both"/>
      </w:pPr>
    </w:p>
    <w:p w14:paraId="04E94953" w14:textId="6E21DC21"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04AE953A"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389F7BA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957AE9A"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3D22A3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AADC9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DC9D4A"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B8AE7F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AF1C9F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8DEF86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CEC6D2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524FE1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2734685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20928222" w14:textId="012C2F52"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7200CF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2F97074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4FFE053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8988FA3" w14:textId="481CD066" w:rsidR="00EF39E9" w:rsidRDefault="00EF39E9" w:rsidP="000A176D">
      <w:pPr>
        <w:jc w:val="both"/>
      </w:pPr>
    </w:p>
    <w:p w14:paraId="1473B96A" w14:textId="369CE19D" w:rsidR="00EF39E9" w:rsidRDefault="00EF39E9" w:rsidP="000A176D">
      <w:pPr>
        <w:jc w:val="both"/>
      </w:pPr>
    </w:p>
    <w:p w14:paraId="3B88102A" w14:textId="77777777" w:rsidR="00EF39E9" w:rsidRPr="009F3875" w:rsidRDefault="00EF39E9" w:rsidP="000A176D">
      <w:pPr>
        <w:jc w:val="both"/>
      </w:pPr>
    </w:p>
    <w:p w14:paraId="529AE6AF"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77908903" w14:textId="77777777" w:rsidTr="004750C3">
        <w:trPr>
          <w:tblCellSpacing w:w="7" w:type="dxa"/>
        </w:trPr>
        <w:tc>
          <w:tcPr>
            <w:tcW w:w="9071" w:type="dxa"/>
          </w:tcPr>
          <w:p w14:paraId="1B90BBB7" w14:textId="27200AF0" w:rsidR="00944FB8" w:rsidRPr="009F3875" w:rsidRDefault="00944FB8" w:rsidP="000A176D">
            <w:pPr>
              <w:jc w:val="both"/>
              <w:rPr>
                <w:b/>
                <w:sz w:val="28"/>
              </w:rPr>
            </w:pPr>
            <w:r w:rsidRPr="009F3875">
              <w:rPr>
                <w:b/>
                <w:sz w:val="28"/>
              </w:rPr>
              <w:lastRenderedPageBreak/>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 achievements in </w:t>
            </w:r>
            <w:r w:rsidR="009F1CA0">
              <w:rPr>
                <w:b/>
                <w:sz w:val="28"/>
              </w:rPr>
              <w:t>promoting sustainable growth</w:t>
            </w:r>
            <w:r w:rsidR="00EF39E9">
              <w:rPr>
                <w:b/>
                <w:sz w:val="28"/>
              </w:rPr>
              <w:t xml:space="preserve"> during 2018-19</w:t>
            </w:r>
            <w:r w:rsidRPr="009F3875">
              <w:rPr>
                <w:b/>
                <w:sz w:val="28"/>
              </w:rPr>
              <w:t xml:space="preserve">. </w:t>
            </w:r>
          </w:p>
          <w:p w14:paraId="1A7E23CA"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42FBAB8" w14:textId="77777777" w:rsidR="00944FB8" w:rsidRPr="009F3875" w:rsidRDefault="00944FB8" w:rsidP="000A176D">
            <w:pPr>
              <w:autoSpaceDE w:val="0"/>
              <w:autoSpaceDN w:val="0"/>
              <w:adjustRightInd w:val="0"/>
              <w:spacing w:line="240" w:lineRule="atLeast"/>
              <w:jc w:val="both"/>
              <w:rPr>
                <w:color w:val="000000"/>
              </w:rPr>
            </w:pPr>
          </w:p>
          <w:p w14:paraId="661B29D7"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B2106D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D0FD82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3E4CBB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67896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E0E825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DAC1D1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E536D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A75287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B9E926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D638190"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D6E4CB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B824620"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FC90932"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E72BFA0"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32E055C" w14:textId="77777777" w:rsidR="00944FB8" w:rsidRPr="009F3875" w:rsidRDefault="00944FB8" w:rsidP="000A176D">
            <w:pPr>
              <w:autoSpaceDE w:val="0"/>
              <w:autoSpaceDN w:val="0"/>
              <w:adjustRightInd w:val="0"/>
              <w:spacing w:line="240" w:lineRule="atLeast"/>
              <w:jc w:val="both"/>
              <w:rPr>
                <w:color w:val="000000"/>
              </w:rPr>
            </w:pPr>
          </w:p>
        </w:tc>
      </w:tr>
    </w:tbl>
    <w:p w14:paraId="027E697E" w14:textId="77777777" w:rsidR="00501F44" w:rsidRDefault="00501F44" w:rsidP="000A176D">
      <w:pPr>
        <w:jc w:val="both"/>
        <w:rPr>
          <w:sz w:val="32"/>
          <w:szCs w:val="32"/>
        </w:rPr>
      </w:pPr>
    </w:p>
    <w:p w14:paraId="7EE53C2F" w14:textId="456F4F97" w:rsidR="00501F44" w:rsidRDefault="00501F44" w:rsidP="007A4339">
      <w:pPr>
        <w:pStyle w:val="Heading3"/>
      </w:pPr>
      <w:r w:rsidRPr="00A00D6E">
        <w:t>Quantitative Information</w:t>
      </w:r>
      <w:r w:rsidR="00513307">
        <w:t xml:space="preserve"> </w:t>
      </w:r>
    </w:p>
    <w:p w14:paraId="5A4D2899" w14:textId="5D1B6021" w:rsidR="007A4339" w:rsidRDefault="007A4339" w:rsidP="007A4339"/>
    <w:tbl>
      <w:tblPr>
        <w:tblStyle w:val="TableGrid"/>
        <w:tblW w:w="8774" w:type="dxa"/>
        <w:tblLook w:val="04A0" w:firstRow="1" w:lastRow="0" w:firstColumn="1" w:lastColumn="0" w:noHBand="0" w:noVBand="1"/>
      </w:tblPr>
      <w:tblGrid>
        <w:gridCol w:w="571"/>
        <w:gridCol w:w="6360"/>
        <w:gridCol w:w="1843"/>
      </w:tblGrid>
      <w:tr w:rsidR="004D0252" w14:paraId="7463ECF8" w14:textId="77777777" w:rsidTr="00602111">
        <w:tc>
          <w:tcPr>
            <w:tcW w:w="571" w:type="dxa"/>
            <w:tcBorders>
              <w:top w:val="double" w:sz="4" w:space="0" w:color="auto"/>
              <w:left w:val="double" w:sz="4" w:space="0" w:color="auto"/>
              <w:bottom w:val="double" w:sz="4" w:space="0" w:color="auto"/>
              <w:right w:val="double" w:sz="4" w:space="0" w:color="auto"/>
            </w:tcBorders>
          </w:tcPr>
          <w:p w14:paraId="557C5B58" w14:textId="07F87713" w:rsidR="009A4313" w:rsidRDefault="009A4313" w:rsidP="009A4313">
            <w:r>
              <w:rPr>
                <w:b/>
              </w:rPr>
              <w:t>Sr. No.</w:t>
            </w:r>
          </w:p>
        </w:tc>
        <w:tc>
          <w:tcPr>
            <w:tcW w:w="6360" w:type="dxa"/>
            <w:tcBorders>
              <w:top w:val="double" w:sz="4" w:space="0" w:color="auto"/>
              <w:left w:val="double" w:sz="4" w:space="0" w:color="auto"/>
              <w:bottom w:val="double" w:sz="4" w:space="0" w:color="auto"/>
              <w:right w:val="double" w:sz="4" w:space="0" w:color="auto"/>
            </w:tcBorders>
          </w:tcPr>
          <w:p w14:paraId="1EC9277F" w14:textId="61FCD1DE" w:rsidR="009A4313" w:rsidRDefault="009A4313" w:rsidP="009A4313">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14:paraId="25FCF586" w14:textId="3B0C13CE" w:rsidR="009A4313" w:rsidRDefault="009A4313" w:rsidP="009A4313">
            <w:r w:rsidRPr="000A0CF0">
              <w:rPr>
                <w:b/>
                <w:bCs/>
              </w:rPr>
              <w:t>Response</w:t>
            </w:r>
          </w:p>
        </w:tc>
      </w:tr>
      <w:tr w:rsidR="009A4313" w14:paraId="38C78BFF" w14:textId="77777777" w:rsidTr="00602111">
        <w:tc>
          <w:tcPr>
            <w:tcW w:w="571" w:type="dxa"/>
            <w:tcBorders>
              <w:top w:val="double" w:sz="4" w:space="0" w:color="auto"/>
              <w:left w:val="double" w:sz="4" w:space="0" w:color="auto"/>
              <w:bottom w:val="double" w:sz="4" w:space="0" w:color="auto"/>
              <w:right w:val="double" w:sz="4" w:space="0" w:color="auto"/>
            </w:tcBorders>
          </w:tcPr>
          <w:p w14:paraId="73A65CB4" w14:textId="28B538CF" w:rsidR="009A4313" w:rsidRDefault="009A4313" w:rsidP="009A4313">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14:paraId="503F6657" w14:textId="4B512774" w:rsidR="009A4313" w:rsidRPr="000A0CF0" w:rsidRDefault="009A4313" w:rsidP="009A4313">
            <w:pPr>
              <w:rPr>
                <w:b/>
              </w:rPr>
            </w:pPr>
            <w:r w:rsidRPr="004E2FAE">
              <w:rPr>
                <w:b/>
              </w:rPr>
              <w:t>CSR Spending</w:t>
            </w:r>
          </w:p>
        </w:tc>
        <w:tc>
          <w:tcPr>
            <w:tcW w:w="1843" w:type="dxa"/>
            <w:tcBorders>
              <w:top w:val="double" w:sz="4" w:space="0" w:color="auto"/>
              <w:left w:val="double" w:sz="4" w:space="0" w:color="auto"/>
              <w:bottom w:val="double" w:sz="4" w:space="0" w:color="auto"/>
              <w:right w:val="double" w:sz="4" w:space="0" w:color="auto"/>
            </w:tcBorders>
          </w:tcPr>
          <w:p w14:paraId="2B4608AD" w14:textId="77777777" w:rsidR="009A4313" w:rsidRPr="000A0CF0" w:rsidRDefault="009A4313" w:rsidP="009A4313">
            <w:pPr>
              <w:rPr>
                <w:b/>
                <w:bCs/>
              </w:rPr>
            </w:pPr>
          </w:p>
        </w:tc>
      </w:tr>
      <w:tr w:rsidR="009A4313" w14:paraId="67E01272" w14:textId="77777777" w:rsidTr="009A4313">
        <w:tc>
          <w:tcPr>
            <w:tcW w:w="571" w:type="dxa"/>
            <w:tcBorders>
              <w:top w:val="double" w:sz="4" w:space="0" w:color="auto"/>
              <w:left w:val="double" w:sz="4" w:space="0" w:color="auto"/>
              <w:bottom w:val="double" w:sz="4" w:space="0" w:color="auto"/>
              <w:right w:val="double" w:sz="4" w:space="0" w:color="auto"/>
            </w:tcBorders>
          </w:tcPr>
          <w:p w14:paraId="03BD388B" w14:textId="77777777" w:rsidR="009A4313" w:rsidRDefault="009A4313" w:rsidP="009A4313">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08238817" w14:textId="77777777" w:rsidTr="004D0252">
              <w:tc>
                <w:tcPr>
                  <w:tcW w:w="6272" w:type="dxa"/>
                  <w:tcBorders>
                    <w:top w:val="nil"/>
                    <w:left w:val="nil"/>
                    <w:bottom w:val="single" w:sz="4" w:space="0" w:color="auto"/>
                    <w:right w:val="single" w:sz="4" w:space="0" w:color="auto"/>
                  </w:tcBorders>
                </w:tcPr>
                <w:p w14:paraId="0F57E808"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3A6D24A4"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10B33CBD" w14:textId="77777777" w:rsidTr="004D0252">
              <w:trPr>
                <w:trHeight w:val="432"/>
              </w:trPr>
              <w:tc>
                <w:tcPr>
                  <w:tcW w:w="6272" w:type="dxa"/>
                  <w:tcBorders>
                    <w:top w:val="single" w:sz="4" w:space="0" w:color="auto"/>
                  </w:tcBorders>
                </w:tcPr>
                <w:p w14:paraId="56288C08" w14:textId="77777777" w:rsidR="009A4313" w:rsidRPr="009A4313" w:rsidRDefault="009A4313" w:rsidP="009A4313">
                  <w:pPr>
                    <w:ind w:right="274"/>
                    <w:rPr>
                      <w:sz w:val="22"/>
                      <w:szCs w:val="22"/>
                    </w:rPr>
                  </w:pPr>
                  <w:r w:rsidRPr="009A4313">
                    <w:rPr>
                      <w:sz w:val="22"/>
                      <w:szCs w:val="22"/>
                    </w:rPr>
                    <w:t>Actual amount spent on CSR in year 2018-19</w:t>
                  </w:r>
                </w:p>
              </w:tc>
              <w:tc>
                <w:tcPr>
                  <w:tcW w:w="1701" w:type="dxa"/>
                  <w:tcBorders>
                    <w:top w:val="single" w:sz="4" w:space="0" w:color="auto"/>
                  </w:tcBorders>
                </w:tcPr>
                <w:p w14:paraId="6C90F927" w14:textId="77777777" w:rsidR="009A4313" w:rsidRPr="009A4313" w:rsidRDefault="009A4313" w:rsidP="009A4313">
                  <w:pPr>
                    <w:ind w:right="274"/>
                    <w:rPr>
                      <w:sz w:val="22"/>
                      <w:szCs w:val="22"/>
                    </w:rPr>
                  </w:pPr>
                </w:p>
              </w:tc>
            </w:tr>
            <w:tr w:rsidR="009A4313" w:rsidRPr="009A4313" w14:paraId="0985D356" w14:textId="77777777" w:rsidTr="004D0252">
              <w:trPr>
                <w:trHeight w:val="432"/>
              </w:trPr>
              <w:tc>
                <w:tcPr>
                  <w:tcW w:w="6272" w:type="dxa"/>
                </w:tcPr>
                <w:p w14:paraId="472DE3F8" w14:textId="77777777" w:rsidR="009A4313" w:rsidRPr="009A4313" w:rsidRDefault="009A4313" w:rsidP="009A4313">
                  <w:pPr>
                    <w:ind w:right="274"/>
                    <w:rPr>
                      <w:sz w:val="22"/>
                      <w:szCs w:val="22"/>
                    </w:rPr>
                  </w:pPr>
                  <w:r w:rsidRPr="009A4313">
                    <w:rPr>
                      <w:sz w:val="22"/>
                      <w:szCs w:val="22"/>
                    </w:rPr>
                    <w:t>Amount sanctioned (budget) for CSR during the year 2018-19</w:t>
                  </w:r>
                </w:p>
              </w:tc>
              <w:tc>
                <w:tcPr>
                  <w:tcW w:w="1701" w:type="dxa"/>
                </w:tcPr>
                <w:p w14:paraId="468F7B9B" w14:textId="77777777" w:rsidR="009A4313" w:rsidRPr="009A4313" w:rsidRDefault="009A4313" w:rsidP="009A4313">
                  <w:pPr>
                    <w:ind w:right="274"/>
                    <w:rPr>
                      <w:sz w:val="22"/>
                      <w:szCs w:val="22"/>
                    </w:rPr>
                  </w:pPr>
                </w:p>
              </w:tc>
            </w:tr>
            <w:tr w:rsidR="009A4313" w:rsidRPr="009A4313" w14:paraId="6EF56736" w14:textId="77777777" w:rsidTr="004D0252">
              <w:trPr>
                <w:trHeight w:val="432"/>
              </w:trPr>
              <w:tc>
                <w:tcPr>
                  <w:tcW w:w="6272" w:type="dxa"/>
                </w:tcPr>
                <w:p w14:paraId="6E093E8A" w14:textId="77777777" w:rsidR="009A4313" w:rsidRPr="009A4313" w:rsidRDefault="009A4313" w:rsidP="009A4313">
                  <w:pPr>
                    <w:ind w:right="274"/>
                    <w:rPr>
                      <w:sz w:val="22"/>
                      <w:szCs w:val="22"/>
                    </w:rPr>
                  </w:pPr>
                  <w:r w:rsidRPr="009A4313">
                    <w:rPr>
                      <w:sz w:val="22"/>
                      <w:szCs w:val="22"/>
                    </w:rPr>
                    <w:t>Amount spent on CSR above mandatory compliance</w:t>
                  </w:r>
                </w:p>
              </w:tc>
              <w:tc>
                <w:tcPr>
                  <w:tcW w:w="1701" w:type="dxa"/>
                </w:tcPr>
                <w:p w14:paraId="73B12C17" w14:textId="77777777" w:rsidR="009A4313" w:rsidRPr="009A4313" w:rsidRDefault="009A4313" w:rsidP="009A4313">
                  <w:pPr>
                    <w:ind w:right="274"/>
                    <w:rPr>
                      <w:sz w:val="22"/>
                      <w:szCs w:val="22"/>
                    </w:rPr>
                  </w:pPr>
                </w:p>
              </w:tc>
            </w:tr>
            <w:tr w:rsidR="009A4313" w:rsidRPr="009A4313" w14:paraId="3E47B249" w14:textId="77777777" w:rsidTr="004D0252">
              <w:trPr>
                <w:trHeight w:val="432"/>
              </w:trPr>
              <w:tc>
                <w:tcPr>
                  <w:tcW w:w="6272" w:type="dxa"/>
                </w:tcPr>
                <w:p w14:paraId="5785825E" w14:textId="77777777" w:rsidR="009A4313" w:rsidRPr="009A4313" w:rsidRDefault="009A4313" w:rsidP="009A4313">
                  <w:pPr>
                    <w:ind w:right="274"/>
                    <w:rPr>
                      <w:sz w:val="22"/>
                      <w:szCs w:val="22"/>
                    </w:rPr>
                  </w:pPr>
                  <w:r w:rsidRPr="009A4313">
                    <w:rPr>
                      <w:sz w:val="22"/>
                      <w:szCs w:val="22"/>
                    </w:rPr>
                    <w:t>Mandatory CSR expenditure in 2018-19</w:t>
                  </w:r>
                </w:p>
              </w:tc>
              <w:tc>
                <w:tcPr>
                  <w:tcW w:w="1701" w:type="dxa"/>
                </w:tcPr>
                <w:p w14:paraId="37E744D0" w14:textId="77777777" w:rsidR="009A4313" w:rsidRPr="009A4313" w:rsidRDefault="009A4313" w:rsidP="009A4313">
                  <w:pPr>
                    <w:ind w:right="274"/>
                    <w:rPr>
                      <w:sz w:val="22"/>
                      <w:szCs w:val="22"/>
                    </w:rPr>
                  </w:pPr>
                </w:p>
              </w:tc>
            </w:tr>
          </w:tbl>
          <w:p w14:paraId="3F8E938D" w14:textId="77777777" w:rsidR="009A4313" w:rsidRDefault="009A4313" w:rsidP="009A4313">
            <w:pPr>
              <w:rPr>
                <w:b/>
                <w:bCs/>
              </w:rPr>
            </w:pPr>
          </w:p>
          <w:p w14:paraId="5C2A8FEB" w14:textId="53D222D1" w:rsidR="00631589" w:rsidRPr="00631589" w:rsidRDefault="00631589" w:rsidP="009A4313">
            <w:pPr>
              <w:rPr>
                <w:b/>
                <w:bCs/>
                <w:sz w:val="2"/>
                <w:szCs w:val="2"/>
              </w:rPr>
            </w:pPr>
          </w:p>
        </w:tc>
      </w:tr>
      <w:tr w:rsidR="004D0252" w14:paraId="773F8739" w14:textId="77777777" w:rsidTr="00602111">
        <w:tc>
          <w:tcPr>
            <w:tcW w:w="571" w:type="dxa"/>
            <w:tcBorders>
              <w:top w:val="double" w:sz="4" w:space="0" w:color="auto"/>
              <w:left w:val="double" w:sz="4" w:space="0" w:color="auto"/>
              <w:bottom w:val="double" w:sz="4" w:space="0" w:color="auto"/>
              <w:right w:val="double" w:sz="4" w:space="0" w:color="auto"/>
            </w:tcBorders>
          </w:tcPr>
          <w:p w14:paraId="2D0950E5" w14:textId="0A0C546E" w:rsidR="004D0252" w:rsidRDefault="004D0252" w:rsidP="004D0252">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14:paraId="59712B38" w14:textId="160FC1D3" w:rsidR="004D0252" w:rsidRPr="000A0CF0" w:rsidRDefault="004D0252" w:rsidP="004D0252">
            <w:pPr>
              <w:rPr>
                <w:b/>
              </w:rPr>
            </w:pPr>
            <w:r w:rsidRPr="009F34E6">
              <w:rPr>
                <w:b/>
              </w:rPr>
              <w:t>Health Safety and Environment (HSE)</w:t>
            </w:r>
          </w:p>
        </w:tc>
        <w:tc>
          <w:tcPr>
            <w:tcW w:w="1843" w:type="dxa"/>
            <w:tcBorders>
              <w:top w:val="double" w:sz="4" w:space="0" w:color="auto"/>
              <w:left w:val="double" w:sz="4" w:space="0" w:color="auto"/>
              <w:bottom w:val="double" w:sz="4" w:space="0" w:color="auto"/>
              <w:right w:val="double" w:sz="4" w:space="0" w:color="auto"/>
            </w:tcBorders>
          </w:tcPr>
          <w:p w14:paraId="6593EEDD" w14:textId="77777777" w:rsidR="004D0252" w:rsidRPr="000A0CF0" w:rsidRDefault="004D0252" w:rsidP="004D0252">
            <w:pPr>
              <w:rPr>
                <w:b/>
                <w:bCs/>
              </w:rPr>
            </w:pPr>
          </w:p>
        </w:tc>
      </w:tr>
      <w:tr w:rsidR="004D0252" w14:paraId="670F61EB" w14:textId="77777777" w:rsidTr="003712FC">
        <w:tc>
          <w:tcPr>
            <w:tcW w:w="571" w:type="dxa"/>
            <w:tcBorders>
              <w:top w:val="double" w:sz="4" w:space="0" w:color="auto"/>
              <w:left w:val="double" w:sz="4" w:space="0" w:color="auto"/>
              <w:bottom w:val="double" w:sz="4" w:space="0" w:color="auto"/>
              <w:right w:val="double" w:sz="4" w:space="0" w:color="auto"/>
            </w:tcBorders>
          </w:tcPr>
          <w:p w14:paraId="6F2C5553" w14:textId="77777777" w:rsidR="004D0252" w:rsidRDefault="004D0252" w:rsidP="004D0252">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6132FC0A" w14:textId="77777777" w:rsidR="004D0252" w:rsidRPr="009F34E6" w:rsidRDefault="004D0252" w:rsidP="004D0252">
            <w:r w:rsidRPr="009F34E6">
              <w:t>Penalties attracted due to any violation in following Acts and rules during 2018-19</w:t>
            </w:r>
          </w:p>
          <w:tbl>
            <w:tblPr>
              <w:tblStyle w:val="TableGrid"/>
              <w:tblW w:w="7973" w:type="dxa"/>
              <w:tblLook w:val="04A0" w:firstRow="1" w:lastRow="0" w:firstColumn="1" w:lastColumn="0" w:noHBand="0" w:noVBand="1"/>
            </w:tblPr>
            <w:tblGrid>
              <w:gridCol w:w="6272"/>
              <w:gridCol w:w="1701"/>
            </w:tblGrid>
            <w:tr w:rsidR="004D0252" w:rsidRPr="004D0252" w14:paraId="0010F925" w14:textId="77777777" w:rsidTr="004D0252">
              <w:tc>
                <w:tcPr>
                  <w:tcW w:w="6272" w:type="dxa"/>
                  <w:tcBorders>
                    <w:top w:val="nil"/>
                    <w:left w:val="nil"/>
                    <w:bottom w:val="single" w:sz="4" w:space="0" w:color="auto"/>
                    <w:right w:val="single" w:sz="4" w:space="0" w:color="auto"/>
                  </w:tcBorders>
                </w:tcPr>
                <w:p w14:paraId="4353AB57" w14:textId="77777777" w:rsidR="004D0252" w:rsidRPr="004D0252" w:rsidRDefault="004D0252" w:rsidP="004D0252">
                  <w:pPr>
                    <w:ind w:right="274"/>
                    <w:rPr>
                      <w:sz w:val="22"/>
                      <w:szCs w:val="22"/>
                    </w:rPr>
                  </w:pPr>
                </w:p>
              </w:tc>
              <w:tc>
                <w:tcPr>
                  <w:tcW w:w="1701" w:type="dxa"/>
                  <w:tcBorders>
                    <w:left w:val="single" w:sz="4" w:space="0" w:color="auto"/>
                    <w:bottom w:val="single" w:sz="4" w:space="0" w:color="auto"/>
                  </w:tcBorders>
                </w:tcPr>
                <w:p w14:paraId="7BE0F481" w14:textId="77777777" w:rsidR="004D0252" w:rsidRPr="004D0252" w:rsidRDefault="004D0252" w:rsidP="004D0252">
                  <w:pPr>
                    <w:ind w:right="274"/>
                    <w:rPr>
                      <w:b/>
                      <w:bCs/>
                      <w:sz w:val="22"/>
                      <w:szCs w:val="22"/>
                    </w:rPr>
                  </w:pPr>
                  <w:r w:rsidRPr="004D0252">
                    <w:rPr>
                      <w:b/>
                      <w:bCs/>
                      <w:sz w:val="22"/>
                      <w:szCs w:val="22"/>
                    </w:rPr>
                    <w:t>Yes/No</w:t>
                  </w:r>
                </w:p>
              </w:tc>
            </w:tr>
            <w:tr w:rsidR="004D0252" w:rsidRPr="004D0252" w14:paraId="3166BEC6" w14:textId="77777777" w:rsidTr="004D0252">
              <w:trPr>
                <w:trHeight w:val="432"/>
              </w:trPr>
              <w:tc>
                <w:tcPr>
                  <w:tcW w:w="6272" w:type="dxa"/>
                  <w:tcBorders>
                    <w:top w:val="single" w:sz="4" w:space="0" w:color="auto"/>
                  </w:tcBorders>
                </w:tcPr>
                <w:p w14:paraId="2632B2B8" w14:textId="77777777" w:rsidR="004D0252" w:rsidRPr="004D0252" w:rsidRDefault="004D0252" w:rsidP="004D0252">
                  <w:pPr>
                    <w:ind w:right="274"/>
                    <w:rPr>
                      <w:sz w:val="22"/>
                      <w:szCs w:val="22"/>
                    </w:rPr>
                  </w:pPr>
                  <w:r w:rsidRPr="004D0252">
                    <w:rPr>
                      <w:sz w:val="22"/>
                      <w:szCs w:val="22"/>
                    </w:rPr>
                    <w:t>Environment Protection Act</w:t>
                  </w:r>
                </w:p>
              </w:tc>
              <w:tc>
                <w:tcPr>
                  <w:tcW w:w="1701" w:type="dxa"/>
                  <w:tcBorders>
                    <w:top w:val="single" w:sz="4" w:space="0" w:color="auto"/>
                  </w:tcBorders>
                </w:tcPr>
                <w:p w14:paraId="01FF121E" w14:textId="77777777" w:rsidR="004D0252" w:rsidRPr="004D0252" w:rsidRDefault="004D0252" w:rsidP="004D0252">
                  <w:pPr>
                    <w:ind w:right="274"/>
                    <w:rPr>
                      <w:sz w:val="22"/>
                      <w:szCs w:val="22"/>
                    </w:rPr>
                  </w:pPr>
                </w:p>
              </w:tc>
            </w:tr>
            <w:tr w:rsidR="004D0252" w:rsidRPr="004D0252" w14:paraId="40766843" w14:textId="77777777" w:rsidTr="004D0252">
              <w:trPr>
                <w:trHeight w:val="432"/>
              </w:trPr>
              <w:tc>
                <w:tcPr>
                  <w:tcW w:w="6272" w:type="dxa"/>
                </w:tcPr>
                <w:p w14:paraId="4DB17C69" w14:textId="77777777" w:rsidR="004D0252" w:rsidRPr="004D0252" w:rsidRDefault="004D0252" w:rsidP="004D0252">
                  <w:pPr>
                    <w:ind w:right="274"/>
                    <w:rPr>
                      <w:sz w:val="22"/>
                      <w:szCs w:val="22"/>
                    </w:rPr>
                  </w:pPr>
                  <w:r w:rsidRPr="004D0252">
                    <w:rPr>
                      <w:sz w:val="22"/>
                      <w:szCs w:val="22"/>
                    </w:rPr>
                    <w:t>Prevention of Water Pollution Act</w:t>
                  </w:r>
                </w:p>
              </w:tc>
              <w:tc>
                <w:tcPr>
                  <w:tcW w:w="1701" w:type="dxa"/>
                </w:tcPr>
                <w:p w14:paraId="2CFEA7C1" w14:textId="77777777" w:rsidR="004D0252" w:rsidRPr="004D0252" w:rsidRDefault="004D0252" w:rsidP="004D0252">
                  <w:pPr>
                    <w:ind w:right="274"/>
                    <w:rPr>
                      <w:sz w:val="22"/>
                      <w:szCs w:val="22"/>
                    </w:rPr>
                  </w:pPr>
                </w:p>
              </w:tc>
            </w:tr>
            <w:tr w:rsidR="004D0252" w:rsidRPr="004D0252" w14:paraId="2B43B8D9" w14:textId="77777777" w:rsidTr="004D0252">
              <w:trPr>
                <w:trHeight w:val="432"/>
              </w:trPr>
              <w:tc>
                <w:tcPr>
                  <w:tcW w:w="6272" w:type="dxa"/>
                </w:tcPr>
                <w:p w14:paraId="198AA151" w14:textId="77777777" w:rsidR="004D0252" w:rsidRPr="004D0252" w:rsidRDefault="004D0252" w:rsidP="004D0252">
                  <w:pPr>
                    <w:ind w:right="274"/>
                    <w:rPr>
                      <w:sz w:val="22"/>
                      <w:szCs w:val="22"/>
                    </w:rPr>
                  </w:pPr>
                  <w:r w:rsidRPr="004D0252">
                    <w:rPr>
                      <w:sz w:val="22"/>
                      <w:szCs w:val="22"/>
                    </w:rPr>
                    <w:t>Prevention of Air Pollution Ac</w:t>
                  </w:r>
                </w:p>
              </w:tc>
              <w:tc>
                <w:tcPr>
                  <w:tcW w:w="1701" w:type="dxa"/>
                </w:tcPr>
                <w:p w14:paraId="765B6522" w14:textId="77777777" w:rsidR="004D0252" w:rsidRPr="004D0252" w:rsidRDefault="004D0252" w:rsidP="004D0252">
                  <w:pPr>
                    <w:ind w:right="274"/>
                    <w:rPr>
                      <w:sz w:val="22"/>
                      <w:szCs w:val="22"/>
                    </w:rPr>
                  </w:pPr>
                </w:p>
              </w:tc>
            </w:tr>
            <w:tr w:rsidR="004D0252" w:rsidRPr="004D0252" w14:paraId="0C873E29" w14:textId="77777777" w:rsidTr="004D0252">
              <w:trPr>
                <w:trHeight w:val="432"/>
              </w:trPr>
              <w:tc>
                <w:tcPr>
                  <w:tcW w:w="6272" w:type="dxa"/>
                </w:tcPr>
                <w:p w14:paraId="60171B19" w14:textId="77777777" w:rsidR="004D0252" w:rsidRPr="004D0252" w:rsidRDefault="004D0252" w:rsidP="004D0252">
                  <w:pPr>
                    <w:ind w:right="274"/>
                    <w:rPr>
                      <w:sz w:val="22"/>
                      <w:szCs w:val="22"/>
                    </w:rPr>
                  </w:pPr>
                  <w:r w:rsidRPr="004D0252">
                    <w:rPr>
                      <w:sz w:val="22"/>
                      <w:szCs w:val="22"/>
                    </w:rPr>
                    <w:lastRenderedPageBreak/>
                    <w:t>Factories Act</w:t>
                  </w:r>
                </w:p>
              </w:tc>
              <w:tc>
                <w:tcPr>
                  <w:tcW w:w="1701" w:type="dxa"/>
                </w:tcPr>
                <w:p w14:paraId="717765BF" w14:textId="77777777" w:rsidR="004D0252" w:rsidRPr="004D0252" w:rsidRDefault="004D0252" w:rsidP="004D0252">
                  <w:pPr>
                    <w:ind w:right="274"/>
                    <w:rPr>
                      <w:sz w:val="22"/>
                      <w:szCs w:val="22"/>
                    </w:rPr>
                  </w:pPr>
                </w:p>
              </w:tc>
            </w:tr>
            <w:tr w:rsidR="004D0252" w:rsidRPr="004D0252" w14:paraId="0F2E1E90" w14:textId="77777777" w:rsidTr="004D0252">
              <w:trPr>
                <w:trHeight w:val="432"/>
              </w:trPr>
              <w:tc>
                <w:tcPr>
                  <w:tcW w:w="6272" w:type="dxa"/>
                </w:tcPr>
                <w:p w14:paraId="3B68626B" w14:textId="77777777" w:rsidR="004D0252" w:rsidRPr="004D0252" w:rsidRDefault="004D0252" w:rsidP="004D0252">
                  <w:pPr>
                    <w:ind w:right="274"/>
                    <w:rPr>
                      <w:sz w:val="22"/>
                      <w:szCs w:val="22"/>
                    </w:rPr>
                  </w:pPr>
                  <w:r w:rsidRPr="004D0252">
                    <w:rPr>
                      <w:sz w:val="22"/>
                      <w:szCs w:val="22"/>
                    </w:rPr>
                    <w:t>Any other Acts if applicable (State/Local Bodies Level etc.)</w:t>
                  </w:r>
                </w:p>
              </w:tc>
              <w:tc>
                <w:tcPr>
                  <w:tcW w:w="1701" w:type="dxa"/>
                </w:tcPr>
                <w:p w14:paraId="2E946D34" w14:textId="77777777" w:rsidR="004D0252" w:rsidRPr="004D0252" w:rsidRDefault="004D0252" w:rsidP="004D0252">
                  <w:pPr>
                    <w:ind w:right="274"/>
                    <w:rPr>
                      <w:sz w:val="22"/>
                      <w:szCs w:val="22"/>
                    </w:rPr>
                  </w:pPr>
                </w:p>
              </w:tc>
            </w:tr>
          </w:tbl>
          <w:p w14:paraId="160AA864" w14:textId="77777777" w:rsidR="004D0252" w:rsidRDefault="004D0252" w:rsidP="004D0252">
            <w:pPr>
              <w:rPr>
                <w:b/>
                <w:bCs/>
              </w:rPr>
            </w:pPr>
          </w:p>
          <w:p w14:paraId="27E714A2" w14:textId="2AD0599D" w:rsidR="00FC223C" w:rsidRPr="00631589" w:rsidRDefault="00FC223C" w:rsidP="004D0252">
            <w:pPr>
              <w:rPr>
                <w:b/>
                <w:bCs/>
                <w:sz w:val="2"/>
                <w:szCs w:val="2"/>
              </w:rPr>
            </w:pPr>
          </w:p>
        </w:tc>
      </w:tr>
      <w:tr w:rsidR="006F60AC" w14:paraId="668210C5" w14:textId="77777777" w:rsidTr="00602111">
        <w:tc>
          <w:tcPr>
            <w:tcW w:w="571" w:type="dxa"/>
            <w:tcBorders>
              <w:top w:val="double" w:sz="4" w:space="0" w:color="auto"/>
              <w:left w:val="double" w:sz="4" w:space="0" w:color="auto"/>
              <w:bottom w:val="double" w:sz="4" w:space="0" w:color="auto"/>
              <w:right w:val="double" w:sz="4" w:space="0" w:color="auto"/>
            </w:tcBorders>
          </w:tcPr>
          <w:p w14:paraId="06C9998D" w14:textId="2A011BAE" w:rsidR="006F60AC" w:rsidRDefault="006F60AC" w:rsidP="006F60AC">
            <w:pPr>
              <w:rPr>
                <w:b/>
              </w:rPr>
            </w:pPr>
            <w:r w:rsidRPr="00D533C7">
              <w:rPr>
                <w:b/>
              </w:rPr>
              <w:lastRenderedPageBreak/>
              <w:t>3</w:t>
            </w:r>
          </w:p>
        </w:tc>
        <w:tc>
          <w:tcPr>
            <w:tcW w:w="6360" w:type="dxa"/>
            <w:tcBorders>
              <w:top w:val="double" w:sz="4" w:space="0" w:color="auto"/>
              <w:left w:val="double" w:sz="4" w:space="0" w:color="auto"/>
              <w:bottom w:val="double" w:sz="4" w:space="0" w:color="auto"/>
              <w:right w:val="double" w:sz="4" w:space="0" w:color="auto"/>
            </w:tcBorders>
          </w:tcPr>
          <w:p w14:paraId="7F147D53" w14:textId="078FB1CA" w:rsidR="006F60AC" w:rsidRPr="000A0CF0" w:rsidRDefault="006F60AC" w:rsidP="006F60AC">
            <w:pPr>
              <w:rPr>
                <w:b/>
              </w:rPr>
            </w:pPr>
            <w:r w:rsidRPr="00FF6862">
              <w:rPr>
                <w:b/>
              </w:rPr>
              <w:t>Spending in skill development</w:t>
            </w:r>
          </w:p>
        </w:tc>
        <w:tc>
          <w:tcPr>
            <w:tcW w:w="1843" w:type="dxa"/>
            <w:tcBorders>
              <w:top w:val="double" w:sz="4" w:space="0" w:color="auto"/>
              <w:left w:val="double" w:sz="4" w:space="0" w:color="auto"/>
              <w:bottom w:val="double" w:sz="4" w:space="0" w:color="auto"/>
              <w:right w:val="double" w:sz="4" w:space="0" w:color="auto"/>
            </w:tcBorders>
          </w:tcPr>
          <w:p w14:paraId="5018E7D1" w14:textId="77777777" w:rsidR="006F60AC" w:rsidRPr="000A0CF0" w:rsidRDefault="006F60AC" w:rsidP="006F60AC">
            <w:pPr>
              <w:rPr>
                <w:b/>
                <w:bCs/>
              </w:rPr>
            </w:pPr>
          </w:p>
        </w:tc>
      </w:tr>
      <w:tr w:rsidR="006F60AC" w14:paraId="38BC7DA3" w14:textId="77777777" w:rsidTr="00C55562">
        <w:tc>
          <w:tcPr>
            <w:tcW w:w="571" w:type="dxa"/>
            <w:tcBorders>
              <w:top w:val="double" w:sz="4" w:space="0" w:color="auto"/>
              <w:left w:val="double" w:sz="4" w:space="0" w:color="auto"/>
              <w:bottom w:val="double" w:sz="4" w:space="0" w:color="auto"/>
              <w:right w:val="double" w:sz="4" w:space="0" w:color="auto"/>
            </w:tcBorders>
          </w:tcPr>
          <w:p w14:paraId="2FEE7332"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6F60AC" w:rsidRPr="009A4313" w14:paraId="278E1A1F" w14:textId="77777777" w:rsidTr="00A31EFC">
              <w:tc>
                <w:tcPr>
                  <w:tcW w:w="6272" w:type="dxa"/>
                  <w:tcBorders>
                    <w:top w:val="nil"/>
                    <w:left w:val="nil"/>
                    <w:bottom w:val="single" w:sz="4" w:space="0" w:color="auto"/>
                    <w:right w:val="single" w:sz="4" w:space="0" w:color="auto"/>
                  </w:tcBorders>
                </w:tcPr>
                <w:p w14:paraId="740A0303"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3F227277"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4F8C2BCA" w14:textId="77777777" w:rsidTr="00A31EFC">
              <w:trPr>
                <w:trHeight w:val="432"/>
              </w:trPr>
              <w:tc>
                <w:tcPr>
                  <w:tcW w:w="6272" w:type="dxa"/>
                  <w:tcBorders>
                    <w:top w:val="single" w:sz="4" w:space="0" w:color="auto"/>
                  </w:tcBorders>
                </w:tcPr>
                <w:p w14:paraId="118CD767" w14:textId="5EF2C4F9" w:rsidR="006F60AC" w:rsidRPr="006F60AC" w:rsidRDefault="006F60AC" w:rsidP="006F60AC">
                  <w:pPr>
                    <w:ind w:right="274"/>
                    <w:rPr>
                      <w:sz w:val="22"/>
                      <w:szCs w:val="22"/>
                    </w:rPr>
                  </w:pPr>
                  <w:r w:rsidRPr="006F60AC">
                    <w:rPr>
                      <w:sz w:val="22"/>
                      <w:szCs w:val="22"/>
                    </w:rPr>
                    <w:t>Capital Expenditure on Skill Development 2018 - 19</w:t>
                  </w:r>
                </w:p>
              </w:tc>
              <w:tc>
                <w:tcPr>
                  <w:tcW w:w="1701" w:type="dxa"/>
                  <w:tcBorders>
                    <w:top w:val="single" w:sz="4" w:space="0" w:color="auto"/>
                  </w:tcBorders>
                </w:tcPr>
                <w:p w14:paraId="63305079" w14:textId="77777777" w:rsidR="006F60AC" w:rsidRPr="009A4313" w:rsidRDefault="006F60AC" w:rsidP="006F60AC">
                  <w:pPr>
                    <w:ind w:right="274"/>
                    <w:rPr>
                      <w:sz w:val="22"/>
                      <w:szCs w:val="22"/>
                    </w:rPr>
                  </w:pPr>
                </w:p>
              </w:tc>
            </w:tr>
            <w:tr w:rsidR="006F60AC" w:rsidRPr="009A4313" w14:paraId="168E9D2B" w14:textId="77777777" w:rsidTr="00A31EFC">
              <w:trPr>
                <w:trHeight w:val="432"/>
              </w:trPr>
              <w:tc>
                <w:tcPr>
                  <w:tcW w:w="6272" w:type="dxa"/>
                </w:tcPr>
                <w:p w14:paraId="4F78CB8F" w14:textId="715EE0F8" w:rsidR="006F60AC" w:rsidRPr="006F60AC" w:rsidRDefault="006F60AC" w:rsidP="006F60AC">
                  <w:pPr>
                    <w:ind w:right="274"/>
                    <w:rPr>
                      <w:sz w:val="22"/>
                      <w:szCs w:val="22"/>
                    </w:rPr>
                  </w:pPr>
                  <w:r w:rsidRPr="006F60AC">
                    <w:rPr>
                      <w:sz w:val="22"/>
                      <w:szCs w:val="22"/>
                    </w:rPr>
                    <w:t>Total Capital Expenditure for 2018 -19</w:t>
                  </w:r>
                </w:p>
              </w:tc>
              <w:tc>
                <w:tcPr>
                  <w:tcW w:w="1701" w:type="dxa"/>
                </w:tcPr>
                <w:p w14:paraId="68260B5B" w14:textId="77777777" w:rsidR="006F60AC" w:rsidRPr="009A4313" w:rsidRDefault="006F60AC" w:rsidP="006F60AC">
                  <w:pPr>
                    <w:ind w:right="274"/>
                    <w:rPr>
                      <w:sz w:val="22"/>
                      <w:szCs w:val="22"/>
                    </w:rPr>
                  </w:pPr>
                </w:p>
              </w:tc>
            </w:tr>
            <w:tr w:rsidR="006F60AC" w:rsidRPr="009A4313" w14:paraId="36AE7132" w14:textId="77777777" w:rsidTr="00A31EFC">
              <w:trPr>
                <w:trHeight w:val="432"/>
              </w:trPr>
              <w:tc>
                <w:tcPr>
                  <w:tcW w:w="6272" w:type="dxa"/>
                </w:tcPr>
                <w:p w14:paraId="78303ECE" w14:textId="1BC7AA3E" w:rsidR="006F60AC" w:rsidRPr="006F60AC" w:rsidRDefault="006F60AC" w:rsidP="006F60AC">
                  <w:pPr>
                    <w:ind w:right="274"/>
                    <w:rPr>
                      <w:sz w:val="22"/>
                      <w:szCs w:val="22"/>
                    </w:rPr>
                  </w:pPr>
                  <w:r w:rsidRPr="006F60AC">
                    <w:rPr>
                      <w:sz w:val="22"/>
                      <w:szCs w:val="22"/>
                    </w:rPr>
                    <w:t>Capital Expenditure on Skill Development 2017 - 18</w:t>
                  </w:r>
                </w:p>
              </w:tc>
              <w:tc>
                <w:tcPr>
                  <w:tcW w:w="1701" w:type="dxa"/>
                </w:tcPr>
                <w:p w14:paraId="6DE649E9" w14:textId="77777777" w:rsidR="006F60AC" w:rsidRPr="009A4313" w:rsidRDefault="006F60AC" w:rsidP="006F60AC">
                  <w:pPr>
                    <w:ind w:right="274"/>
                    <w:rPr>
                      <w:sz w:val="22"/>
                      <w:szCs w:val="22"/>
                    </w:rPr>
                  </w:pPr>
                </w:p>
              </w:tc>
            </w:tr>
            <w:tr w:rsidR="006F60AC" w:rsidRPr="009A4313" w14:paraId="34760061" w14:textId="77777777" w:rsidTr="00A31EFC">
              <w:trPr>
                <w:trHeight w:val="432"/>
              </w:trPr>
              <w:tc>
                <w:tcPr>
                  <w:tcW w:w="6272" w:type="dxa"/>
                </w:tcPr>
                <w:p w14:paraId="5D396740" w14:textId="432CFB5F" w:rsidR="006F60AC" w:rsidRPr="006F60AC" w:rsidRDefault="006F60AC" w:rsidP="006F60AC">
                  <w:pPr>
                    <w:ind w:right="274"/>
                    <w:rPr>
                      <w:sz w:val="22"/>
                      <w:szCs w:val="22"/>
                    </w:rPr>
                  </w:pPr>
                  <w:r w:rsidRPr="006F60AC">
                    <w:rPr>
                      <w:sz w:val="22"/>
                      <w:szCs w:val="22"/>
                    </w:rPr>
                    <w:t>Total Capital Expenditure for 2017 -18</w:t>
                  </w:r>
                </w:p>
              </w:tc>
              <w:tc>
                <w:tcPr>
                  <w:tcW w:w="1701" w:type="dxa"/>
                </w:tcPr>
                <w:p w14:paraId="7E3AE527" w14:textId="77777777" w:rsidR="006F60AC" w:rsidRPr="009A4313" w:rsidRDefault="006F60AC" w:rsidP="006F60AC">
                  <w:pPr>
                    <w:ind w:right="274"/>
                    <w:rPr>
                      <w:sz w:val="22"/>
                      <w:szCs w:val="22"/>
                    </w:rPr>
                  </w:pPr>
                </w:p>
              </w:tc>
            </w:tr>
          </w:tbl>
          <w:p w14:paraId="6E5E7507" w14:textId="77777777" w:rsidR="006F60AC" w:rsidRPr="000A0CF0" w:rsidRDefault="006F60AC" w:rsidP="006F60AC">
            <w:pPr>
              <w:rPr>
                <w:b/>
                <w:bCs/>
              </w:rPr>
            </w:pPr>
          </w:p>
        </w:tc>
      </w:tr>
      <w:tr w:rsidR="006F60AC" w14:paraId="20C7D4D0" w14:textId="77777777" w:rsidTr="00602111">
        <w:tc>
          <w:tcPr>
            <w:tcW w:w="571" w:type="dxa"/>
            <w:tcBorders>
              <w:top w:val="double" w:sz="4" w:space="0" w:color="auto"/>
              <w:left w:val="double" w:sz="4" w:space="0" w:color="auto"/>
              <w:bottom w:val="double" w:sz="4" w:space="0" w:color="auto"/>
              <w:right w:val="double" w:sz="4" w:space="0" w:color="auto"/>
            </w:tcBorders>
          </w:tcPr>
          <w:p w14:paraId="3D97005F" w14:textId="50234B5E" w:rsidR="006F60AC" w:rsidRDefault="006F60AC" w:rsidP="006F60AC">
            <w:pPr>
              <w:rPr>
                <w:b/>
              </w:rPr>
            </w:pPr>
            <w:r w:rsidRPr="00C92929">
              <w:rPr>
                <w:b/>
              </w:rPr>
              <w:t>4</w:t>
            </w:r>
          </w:p>
        </w:tc>
        <w:tc>
          <w:tcPr>
            <w:tcW w:w="6360" w:type="dxa"/>
            <w:tcBorders>
              <w:top w:val="double" w:sz="4" w:space="0" w:color="auto"/>
              <w:left w:val="double" w:sz="4" w:space="0" w:color="auto"/>
              <w:bottom w:val="double" w:sz="4" w:space="0" w:color="auto"/>
              <w:right w:val="double" w:sz="4" w:space="0" w:color="auto"/>
            </w:tcBorders>
          </w:tcPr>
          <w:p w14:paraId="64F621D0" w14:textId="750F30C8" w:rsidR="006F60AC" w:rsidRPr="000A0CF0" w:rsidRDefault="006F60AC" w:rsidP="006F60AC">
            <w:pPr>
              <w:rPr>
                <w:b/>
              </w:rPr>
            </w:pPr>
            <w:r w:rsidRPr="00FF6862">
              <w:rPr>
                <w:b/>
              </w:rPr>
              <w:t>Capex for renewable/ EV/ biofuels as line of business in year 2018-19</w:t>
            </w:r>
          </w:p>
        </w:tc>
        <w:tc>
          <w:tcPr>
            <w:tcW w:w="1843" w:type="dxa"/>
            <w:tcBorders>
              <w:top w:val="double" w:sz="4" w:space="0" w:color="auto"/>
              <w:left w:val="double" w:sz="4" w:space="0" w:color="auto"/>
              <w:bottom w:val="double" w:sz="4" w:space="0" w:color="auto"/>
              <w:right w:val="double" w:sz="4" w:space="0" w:color="auto"/>
            </w:tcBorders>
          </w:tcPr>
          <w:p w14:paraId="517C1894" w14:textId="77777777" w:rsidR="006F60AC" w:rsidRPr="000A0CF0" w:rsidRDefault="006F60AC" w:rsidP="006F60AC">
            <w:pPr>
              <w:rPr>
                <w:b/>
                <w:bCs/>
              </w:rPr>
            </w:pPr>
          </w:p>
        </w:tc>
      </w:tr>
      <w:tr w:rsidR="006F60AC" w14:paraId="4DFC10B0" w14:textId="77777777" w:rsidTr="00E25F61">
        <w:tc>
          <w:tcPr>
            <w:tcW w:w="571" w:type="dxa"/>
            <w:tcBorders>
              <w:top w:val="double" w:sz="4" w:space="0" w:color="auto"/>
              <w:left w:val="double" w:sz="4" w:space="0" w:color="auto"/>
              <w:bottom w:val="double" w:sz="4" w:space="0" w:color="auto"/>
              <w:right w:val="double" w:sz="4" w:space="0" w:color="auto"/>
            </w:tcBorders>
          </w:tcPr>
          <w:p w14:paraId="6689DDAA"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0D20E167" w14:textId="77777777" w:rsidR="006F60AC" w:rsidRDefault="006F60AC" w:rsidP="006F60AC">
            <w:r>
              <w:t>% of C</w:t>
            </w:r>
            <w:r w:rsidRPr="00FF6862">
              <w:t>apex for RE/EV/biofuels in total investments made by the company in year 2018-19</w:t>
            </w:r>
          </w:p>
          <w:tbl>
            <w:tblPr>
              <w:tblStyle w:val="TableGrid"/>
              <w:tblW w:w="7973" w:type="dxa"/>
              <w:tblLook w:val="04A0" w:firstRow="1" w:lastRow="0" w:firstColumn="1" w:lastColumn="0" w:noHBand="0" w:noVBand="1"/>
            </w:tblPr>
            <w:tblGrid>
              <w:gridCol w:w="6272"/>
              <w:gridCol w:w="1701"/>
            </w:tblGrid>
            <w:tr w:rsidR="006F60AC" w:rsidRPr="009A4313" w14:paraId="424ADB7F" w14:textId="77777777" w:rsidTr="00A31EFC">
              <w:tc>
                <w:tcPr>
                  <w:tcW w:w="6272" w:type="dxa"/>
                  <w:tcBorders>
                    <w:top w:val="nil"/>
                    <w:left w:val="nil"/>
                    <w:bottom w:val="single" w:sz="4" w:space="0" w:color="auto"/>
                    <w:right w:val="single" w:sz="4" w:space="0" w:color="auto"/>
                  </w:tcBorders>
                </w:tcPr>
                <w:p w14:paraId="4027B483"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4E44D922"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046D4E83" w14:textId="77777777" w:rsidTr="006F60AC">
              <w:trPr>
                <w:trHeight w:val="397"/>
              </w:trPr>
              <w:tc>
                <w:tcPr>
                  <w:tcW w:w="6272" w:type="dxa"/>
                  <w:tcBorders>
                    <w:top w:val="single" w:sz="4" w:space="0" w:color="auto"/>
                  </w:tcBorders>
                </w:tcPr>
                <w:p w14:paraId="4CD3716D" w14:textId="5A77B447" w:rsidR="006F60AC" w:rsidRPr="006F60AC" w:rsidRDefault="006F60AC" w:rsidP="006F60AC">
                  <w:pPr>
                    <w:ind w:right="274"/>
                    <w:rPr>
                      <w:sz w:val="22"/>
                      <w:szCs w:val="22"/>
                    </w:rPr>
                  </w:pPr>
                  <w:r w:rsidRPr="006F60AC">
                    <w:rPr>
                      <w:sz w:val="22"/>
                      <w:szCs w:val="22"/>
                    </w:rPr>
                    <w:t>Total Capex on RE/EV/biofuels in 2018-19</w:t>
                  </w:r>
                </w:p>
              </w:tc>
              <w:tc>
                <w:tcPr>
                  <w:tcW w:w="1701" w:type="dxa"/>
                  <w:tcBorders>
                    <w:top w:val="single" w:sz="4" w:space="0" w:color="auto"/>
                  </w:tcBorders>
                </w:tcPr>
                <w:p w14:paraId="66B337B7" w14:textId="77777777" w:rsidR="006F60AC" w:rsidRPr="009A4313" w:rsidRDefault="006F60AC" w:rsidP="006F60AC">
                  <w:pPr>
                    <w:ind w:right="274"/>
                    <w:rPr>
                      <w:sz w:val="22"/>
                      <w:szCs w:val="22"/>
                    </w:rPr>
                  </w:pPr>
                </w:p>
              </w:tc>
            </w:tr>
            <w:tr w:rsidR="006F60AC" w:rsidRPr="009A4313" w14:paraId="3A64B5F7" w14:textId="77777777" w:rsidTr="006F60AC">
              <w:trPr>
                <w:trHeight w:val="397"/>
              </w:trPr>
              <w:tc>
                <w:tcPr>
                  <w:tcW w:w="6272" w:type="dxa"/>
                </w:tcPr>
                <w:p w14:paraId="7069A1B2" w14:textId="23AE6EEE" w:rsidR="006F60AC" w:rsidRPr="006F60AC" w:rsidRDefault="006F60AC" w:rsidP="006F60AC">
                  <w:pPr>
                    <w:ind w:right="274"/>
                    <w:rPr>
                      <w:sz w:val="22"/>
                      <w:szCs w:val="22"/>
                    </w:rPr>
                  </w:pPr>
                  <w:r w:rsidRPr="006F60AC">
                    <w:rPr>
                      <w:sz w:val="22"/>
                      <w:szCs w:val="22"/>
                    </w:rPr>
                    <w:t>Total Capex in 2018-19</w:t>
                  </w:r>
                </w:p>
              </w:tc>
              <w:tc>
                <w:tcPr>
                  <w:tcW w:w="1701" w:type="dxa"/>
                </w:tcPr>
                <w:p w14:paraId="1F6D2D04" w14:textId="77777777" w:rsidR="006F60AC" w:rsidRPr="009A4313" w:rsidRDefault="006F60AC" w:rsidP="006F60AC">
                  <w:pPr>
                    <w:ind w:right="274"/>
                    <w:rPr>
                      <w:sz w:val="22"/>
                      <w:szCs w:val="22"/>
                    </w:rPr>
                  </w:pPr>
                </w:p>
              </w:tc>
            </w:tr>
            <w:tr w:rsidR="006F60AC" w:rsidRPr="009A4313" w14:paraId="48BB74A4" w14:textId="77777777" w:rsidTr="006F60AC">
              <w:trPr>
                <w:trHeight w:val="397"/>
              </w:trPr>
              <w:tc>
                <w:tcPr>
                  <w:tcW w:w="6272" w:type="dxa"/>
                </w:tcPr>
                <w:p w14:paraId="44A59175" w14:textId="09A92E1C" w:rsidR="006F60AC" w:rsidRPr="006F60AC" w:rsidRDefault="006F60AC" w:rsidP="006F60AC">
                  <w:pPr>
                    <w:ind w:right="274"/>
                    <w:rPr>
                      <w:sz w:val="22"/>
                      <w:szCs w:val="22"/>
                    </w:rPr>
                  </w:pPr>
                  <w:r w:rsidRPr="006F60AC">
                    <w:rPr>
                      <w:sz w:val="22"/>
                      <w:szCs w:val="22"/>
                    </w:rPr>
                    <w:t>Total Capex on RE/EV/biofuels of the company in 2017-18</w:t>
                  </w:r>
                </w:p>
              </w:tc>
              <w:tc>
                <w:tcPr>
                  <w:tcW w:w="1701" w:type="dxa"/>
                </w:tcPr>
                <w:p w14:paraId="1ECA0F58" w14:textId="77777777" w:rsidR="006F60AC" w:rsidRPr="009A4313" w:rsidRDefault="006F60AC" w:rsidP="006F60AC">
                  <w:pPr>
                    <w:ind w:right="274"/>
                    <w:rPr>
                      <w:sz w:val="22"/>
                      <w:szCs w:val="22"/>
                    </w:rPr>
                  </w:pPr>
                </w:p>
              </w:tc>
            </w:tr>
            <w:tr w:rsidR="006F60AC" w:rsidRPr="009A4313" w14:paraId="66773D8A" w14:textId="77777777" w:rsidTr="006F60AC">
              <w:trPr>
                <w:trHeight w:val="397"/>
              </w:trPr>
              <w:tc>
                <w:tcPr>
                  <w:tcW w:w="6272" w:type="dxa"/>
                </w:tcPr>
                <w:p w14:paraId="5A7690F7" w14:textId="40CD0415" w:rsidR="006F60AC" w:rsidRPr="006F60AC" w:rsidRDefault="006F60AC" w:rsidP="006F60AC">
                  <w:pPr>
                    <w:ind w:right="274"/>
                    <w:rPr>
                      <w:sz w:val="22"/>
                      <w:szCs w:val="22"/>
                    </w:rPr>
                  </w:pPr>
                  <w:r w:rsidRPr="006F60AC">
                    <w:rPr>
                      <w:sz w:val="22"/>
                      <w:szCs w:val="22"/>
                    </w:rPr>
                    <w:t xml:space="preserve">Total </w:t>
                  </w:r>
                  <w:proofErr w:type="gramStart"/>
                  <w:r w:rsidRPr="006F60AC">
                    <w:rPr>
                      <w:sz w:val="22"/>
                      <w:szCs w:val="22"/>
                    </w:rPr>
                    <w:t>Capex  in</w:t>
                  </w:r>
                  <w:proofErr w:type="gramEnd"/>
                  <w:r w:rsidRPr="006F60AC">
                    <w:rPr>
                      <w:sz w:val="22"/>
                      <w:szCs w:val="22"/>
                    </w:rPr>
                    <w:t xml:space="preserve"> 2017-18</w:t>
                  </w:r>
                </w:p>
              </w:tc>
              <w:tc>
                <w:tcPr>
                  <w:tcW w:w="1701" w:type="dxa"/>
                </w:tcPr>
                <w:p w14:paraId="11A44852" w14:textId="77777777" w:rsidR="006F60AC" w:rsidRPr="009A4313" w:rsidRDefault="006F60AC" w:rsidP="006F60AC">
                  <w:pPr>
                    <w:ind w:right="274"/>
                    <w:rPr>
                      <w:sz w:val="22"/>
                      <w:szCs w:val="22"/>
                    </w:rPr>
                  </w:pPr>
                </w:p>
              </w:tc>
            </w:tr>
          </w:tbl>
          <w:p w14:paraId="5969E17B" w14:textId="77777777" w:rsidR="006F60AC" w:rsidRPr="000A0CF0" w:rsidRDefault="006F60AC" w:rsidP="006F60AC">
            <w:pPr>
              <w:rPr>
                <w:b/>
                <w:bCs/>
              </w:rPr>
            </w:pPr>
          </w:p>
        </w:tc>
      </w:tr>
      <w:tr w:rsidR="00B335A4" w14:paraId="7029DD16" w14:textId="77777777" w:rsidTr="00602111">
        <w:tc>
          <w:tcPr>
            <w:tcW w:w="571" w:type="dxa"/>
            <w:tcBorders>
              <w:top w:val="double" w:sz="4" w:space="0" w:color="auto"/>
              <w:left w:val="double" w:sz="4" w:space="0" w:color="auto"/>
              <w:bottom w:val="double" w:sz="4" w:space="0" w:color="auto"/>
              <w:right w:val="double" w:sz="4" w:space="0" w:color="auto"/>
            </w:tcBorders>
          </w:tcPr>
          <w:p w14:paraId="10AB1514" w14:textId="78841330" w:rsidR="00B335A4" w:rsidRDefault="00B335A4" w:rsidP="00B335A4">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14:paraId="0E546B20" w14:textId="7DE123E0" w:rsidR="00B335A4" w:rsidRPr="000A0CF0" w:rsidRDefault="00B335A4" w:rsidP="00B335A4">
            <w:pPr>
              <w:rPr>
                <w:b/>
              </w:rPr>
            </w:pPr>
            <w:r w:rsidRPr="00FF6862">
              <w:rPr>
                <w:b/>
              </w:rPr>
              <w:t>Water saving measures</w:t>
            </w:r>
          </w:p>
        </w:tc>
        <w:tc>
          <w:tcPr>
            <w:tcW w:w="1843" w:type="dxa"/>
            <w:tcBorders>
              <w:top w:val="double" w:sz="4" w:space="0" w:color="auto"/>
              <w:left w:val="double" w:sz="4" w:space="0" w:color="auto"/>
              <w:bottom w:val="double" w:sz="4" w:space="0" w:color="auto"/>
              <w:right w:val="double" w:sz="4" w:space="0" w:color="auto"/>
            </w:tcBorders>
          </w:tcPr>
          <w:p w14:paraId="579E54D9" w14:textId="77777777" w:rsidR="00B335A4" w:rsidRPr="000A0CF0" w:rsidRDefault="00B335A4" w:rsidP="00B335A4">
            <w:pPr>
              <w:rPr>
                <w:b/>
                <w:bCs/>
              </w:rPr>
            </w:pPr>
          </w:p>
        </w:tc>
      </w:tr>
      <w:tr w:rsidR="00B335A4" w14:paraId="1299ECA3" w14:textId="77777777" w:rsidTr="00FF1054">
        <w:tc>
          <w:tcPr>
            <w:tcW w:w="571" w:type="dxa"/>
            <w:tcBorders>
              <w:top w:val="double" w:sz="4" w:space="0" w:color="auto"/>
              <w:left w:val="double" w:sz="4" w:space="0" w:color="auto"/>
              <w:bottom w:val="double" w:sz="4" w:space="0" w:color="auto"/>
              <w:right w:val="double" w:sz="4" w:space="0" w:color="auto"/>
            </w:tcBorders>
          </w:tcPr>
          <w:p w14:paraId="089DE004" w14:textId="77777777" w:rsidR="00B335A4" w:rsidRDefault="00B335A4" w:rsidP="00B335A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335A4" w:rsidRPr="009A4313" w14:paraId="3FE76C56" w14:textId="77777777" w:rsidTr="00253304">
              <w:tc>
                <w:tcPr>
                  <w:tcW w:w="6254" w:type="dxa"/>
                  <w:tcBorders>
                    <w:top w:val="nil"/>
                    <w:left w:val="nil"/>
                    <w:bottom w:val="single" w:sz="4" w:space="0" w:color="auto"/>
                    <w:right w:val="single" w:sz="4" w:space="0" w:color="auto"/>
                  </w:tcBorders>
                </w:tcPr>
                <w:p w14:paraId="1FF67A68" w14:textId="77777777" w:rsidR="00B335A4" w:rsidRPr="009A4313" w:rsidRDefault="00B335A4" w:rsidP="00B335A4">
                  <w:pPr>
                    <w:ind w:right="274"/>
                    <w:rPr>
                      <w:sz w:val="22"/>
                      <w:szCs w:val="22"/>
                    </w:rPr>
                  </w:pPr>
                </w:p>
              </w:tc>
              <w:tc>
                <w:tcPr>
                  <w:tcW w:w="1719" w:type="dxa"/>
                  <w:tcBorders>
                    <w:left w:val="single" w:sz="4" w:space="0" w:color="auto"/>
                    <w:bottom w:val="single" w:sz="4" w:space="0" w:color="auto"/>
                  </w:tcBorders>
                </w:tcPr>
                <w:p w14:paraId="4DC2A958" w14:textId="6396BDB2" w:rsidR="00B335A4" w:rsidRPr="009A4313" w:rsidRDefault="00B335A4" w:rsidP="00B335A4">
                  <w:pPr>
                    <w:ind w:right="274"/>
                    <w:rPr>
                      <w:b/>
                      <w:bCs/>
                      <w:sz w:val="22"/>
                      <w:szCs w:val="22"/>
                    </w:rPr>
                  </w:pPr>
                  <w:r>
                    <w:rPr>
                      <w:b/>
                      <w:bCs/>
                      <w:sz w:val="22"/>
                      <w:szCs w:val="22"/>
                    </w:rPr>
                    <w:t>Percentage</w:t>
                  </w:r>
                </w:p>
              </w:tc>
            </w:tr>
            <w:tr w:rsidR="00B335A4" w:rsidRPr="009A4313" w14:paraId="000AC6F5" w14:textId="77777777" w:rsidTr="00253304">
              <w:trPr>
                <w:trHeight w:val="397"/>
              </w:trPr>
              <w:tc>
                <w:tcPr>
                  <w:tcW w:w="6254" w:type="dxa"/>
                  <w:tcBorders>
                    <w:top w:val="single" w:sz="4" w:space="0" w:color="auto"/>
                  </w:tcBorders>
                </w:tcPr>
                <w:p w14:paraId="2C33F124" w14:textId="4525E95F" w:rsidR="00B335A4" w:rsidRPr="00B335A4" w:rsidRDefault="00B335A4" w:rsidP="00B335A4">
                  <w:pPr>
                    <w:ind w:right="274"/>
                    <w:rPr>
                      <w:sz w:val="22"/>
                      <w:szCs w:val="22"/>
                    </w:rPr>
                  </w:pPr>
                  <w:r w:rsidRPr="00B335A4">
                    <w:rPr>
                      <w:sz w:val="22"/>
                      <w:szCs w:val="22"/>
                    </w:rPr>
                    <w:t>% of water recycled in total water usage in year 2018-19</w:t>
                  </w:r>
                </w:p>
              </w:tc>
              <w:tc>
                <w:tcPr>
                  <w:tcW w:w="1719" w:type="dxa"/>
                  <w:tcBorders>
                    <w:top w:val="single" w:sz="4" w:space="0" w:color="auto"/>
                  </w:tcBorders>
                </w:tcPr>
                <w:p w14:paraId="5FB6BA02" w14:textId="77777777" w:rsidR="00B335A4" w:rsidRPr="009A4313" w:rsidRDefault="00B335A4" w:rsidP="00B335A4">
                  <w:pPr>
                    <w:ind w:right="274"/>
                    <w:rPr>
                      <w:sz w:val="22"/>
                      <w:szCs w:val="22"/>
                    </w:rPr>
                  </w:pPr>
                </w:p>
              </w:tc>
            </w:tr>
            <w:tr w:rsidR="00B335A4" w:rsidRPr="009A4313" w14:paraId="1B535301" w14:textId="77777777" w:rsidTr="00253304">
              <w:trPr>
                <w:trHeight w:val="397"/>
              </w:trPr>
              <w:tc>
                <w:tcPr>
                  <w:tcW w:w="6254" w:type="dxa"/>
                </w:tcPr>
                <w:p w14:paraId="387F4B85" w14:textId="189C5642" w:rsidR="00B335A4" w:rsidRPr="00B335A4" w:rsidRDefault="00B335A4" w:rsidP="00B335A4">
                  <w:pPr>
                    <w:ind w:right="274"/>
                    <w:rPr>
                      <w:sz w:val="22"/>
                      <w:szCs w:val="22"/>
                    </w:rPr>
                  </w:pPr>
                  <w:r w:rsidRPr="00B335A4">
                    <w:rPr>
                      <w:sz w:val="22"/>
                      <w:szCs w:val="22"/>
                    </w:rPr>
                    <w:t>% of recycled water used in total water usage in year 2018-19</w:t>
                  </w:r>
                </w:p>
              </w:tc>
              <w:tc>
                <w:tcPr>
                  <w:tcW w:w="1719" w:type="dxa"/>
                </w:tcPr>
                <w:p w14:paraId="0680EEBC" w14:textId="77777777" w:rsidR="00B335A4" w:rsidRPr="009A4313" w:rsidRDefault="00B335A4" w:rsidP="00B335A4">
                  <w:pPr>
                    <w:ind w:right="274"/>
                    <w:rPr>
                      <w:sz w:val="22"/>
                      <w:szCs w:val="22"/>
                    </w:rPr>
                  </w:pPr>
                </w:p>
              </w:tc>
            </w:tr>
            <w:tr w:rsidR="00B335A4" w:rsidRPr="009A4313" w14:paraId="79FB00F6" w14:textId="77777777" w:rsidTr="00253304">
              <w:trPr>
                <w:trHeight w:val="397"/>
              </w:trPr>
              <w:tc>
                <w:tcPr>
                  <w:tcW w:w="6254" w:type="dxa"/>
                </w:tcPr>
                <w:p w14:paraId="66A40362" w14:textId="35706F83" w:rsidR="00B335A4" w:rsidRPr="00B335A4" w:rsidRDefault="00B335A4" w:rsidP="00B335A4">
                  <w:pPr>
                    <w:ind w:right="274"/>
                    <w:rPr>
                      <w:sz w:val="22"/>
                      <w:szCs w:val="22"/>
                    </w:rPr>
                  </w:pPr>
                  <w:r w:rsidRPr="00B335A4">
                    <w:rPr>
                      <w:sz w:val="22"/>
                      <w:szCs w:val="22"/>
                    </w:rPr>
                    <w:t>% of water recycled in total water usage in year 2017-18</w:t>
                  </w:r>
                </w:p>
              </w:tc>
              <w:tc>
                <w:tcPr>
                  <w:tcW w:w="1719" w:type="dxa"/>
                </w:tcPr>
                <w:p w14:paraId="3D22C561" w14:textId="77777777" w:rsidR="00B335A4" w:rsidRPr="009A4313" w:rsidRDefault="00B335A4" w:rsidP="00B335A4">
                  <w:pPr>
                    <w:ind w:right="274"/>
                    <w:rPr>
                      <w:sz w:val="22"/>
                      <w:szCs w:val="22"/>
                    </w:rPr>
                  </w:pPr>
                </w:p>
              </w:tc>
            </w:tr>
            <w:tr w:rsidR="00B335A4" w:rsidRPr="009A4313" w14:paraId="1A8B429C" w14:textId="77777777" w:rsidTr="00253304">
              <w:trPr>
                <w:trHeight w:val="397"/>
              </w:trPr>
              <w:tc>
                <w:tcPr>
                  <w:tcW w:w="6254" w:type="dxa"/>
                </w:tcPr>
                <w:p w14:paraId="2D60DEB2" w14:textId="0E01DF2F" w:rsidR="00B335A4" w:rsidRPr="00B335A4" w:rsidRDefault="00B335A4" w:rsidP="00B335A4">
                  <w:pPr>
                    <w:ind w:right="274"/>
                    <w:rPr>
                      <w:sz w:val="22"/>
                      <w:szCs w:val="22"/>
                    </w:rPr>
                  </w:pPr>
                  <w:r w:rsidRPr="00B335A4">
                    <w:rPr>
                      <w:sz w:val="22"/>
                      <w:szCs w:val="22"/>
                    </w:rPr>
                    <w:t>% of recycled water used in total water usage in year 2017-18</w:t>
                  </w:r>
                </w:p>
              </w:tc>
              <w:tc>
                <w:tcPr>
                  <w:tcW w:w="1719" w:type="dxa"/>
                </w:tcPr>
                <w:p w14:paraId="784C19EB" w14:textId="77777777" w:rsidR="00B335A4" w:rsidRPr="009A4313" w:rsidRDefault="00B335A4" w:rsidP="00B335A4">
                  <w:pPr>
                    <w:ind w:right="274"/>
                    <w:rPr>
                      <w:sz w:val="22"/>
                      <w:szCs w:val="22"/>
                    </w:rPr>
                  </w:pPr>
                </w:p>
              </w:tc>
            </w:tr>
          </w:tbl>
          <w:p w14:paraId="5B5CCFBA" w14:textId="77777777" w:rsidR="00B335A4" w:rsidRPr="000A0CF0" w:rsidRDefault="00B335A4" w:rsidP="00B335A4">
            <w:pPr>
              <w:rPr>
                <w:b/>
                <w:bCs/>
              </w:rPr>
            </w:pPr>
          </w:p>
        </w:tc>
      </w:tr>
      <w:tr w:rsidR="003E0A5B" w14:paraId="4736DFA9" w14:textId="77777777" w:rsidTr="00602111">
        <w:tc>
          <w:tcPr>
            <w:tcW w:w="571" w:type="dxa"/>
            <w:tcBorders>
              <w:top w:val="double" w:sz="4" w:space="0" w:color="auto"/>
              <w:left w:val="double" w:sz="4" w:space="0" w:color="auto"/>
              <w:bottom w:val="double" w:sz="4" w:space="0" w:color="auto"/>
              <w:right w:val="double" w:sz="4" w:space="0" w:color="auto"/>
            </w:tcBorders>
          </w:tcPr>
          <w:p w14:paraId="6B9F1586" w14:textId="71B8E5EF" w:rsidR="003E0A5B" w:rsidRDefault="003E0A5B" w:rsidP="003E0A5B">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14:paraId="5109B6EE" w14:textId="5D59E6D3" w:rsidR="003E0A5B" w:rsidRPr="000A0CF0" w:rsidRDefault="003E0A5B" w:rsidP="003E0A5B">
            <w:pPr>
              <w:rPr>
                <w:b/>
              </w:rPr>
            </w:pPr>
            <w:r>
              <w:rPr>
                <w:b/>
              </w:rPr>
              <w:t>Percentage reduction in energy intensity over the past two years</w:t>
            </w:r>
          </w:p>
        </w:tc>
        <w:tc>
          <w:tcPr>
            <w:tcW w:w="1843" w:type="dxa"/>
            <w:tcBorders>
              <w:top w:val="double" w:sz="4" w:space="0" w:color="auto"/>
              <w:left w:val="double" w:sz="4" w:space="0" w:color="auto"/>
              <w:bottom w:val="double" w:sz="4" w:space="0" w:color="auto"/>
              <w:right w:val="double" w:sz="4" w:space="0" w:color="auto"/>
            </w:tcBorders>
          </w:tcPr>
          <w:p w14:paraId="7CBBAF09" w14:textId="77777777" w:rsidR="003E0A5B" w:rsidRPr="000A0CF0" w:rsidRDefault="003E0A5B" w:rsidP="003E0A5B">
            <w:pPr>
              <w:rPr>
                <w:b/>
                <w:bCs/>
              </w:rPr>
            </w:pPr>
          </w:p>
        </w:tc>
      </w:tr>
      <w:tr w:rsidR="003E0A5B" w14:paraId="253130FC" w14:textId="77777777" w:rsidTr="001313EF">
        <w:tc>
          <w:tcPr>
            <w:tcW w:w="571" w:type="dxa"/>
            <w:tcBorders>
              <w:top w:val="double" w:sz="4" w:space="0" w:color="auto"/>
              <w:left w:val="double" w:sz="4" w:space="0" w:color="auto"/>
              <w:bottom w:val="double" w:sz="4" w:space="0" w:color="auto"/>
              <w:right w:val="double" w:sz="4" w:space="0" w:color="auto"/>
            </w:tcBorders>
          </w:tcPr>
          <w:p w14:paraId="13803076" w14:textId="77777777" w:rsidR="003E0A5B" w:rsidRDefault="003E0A5B" w:rsidP="003E0A5B">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659"/>
              <w:gridCol w:w="2659"/>
              <w:gridCol w:w="2659"/>
            </w:tblGrid>
            <w:tr w:rsidR="003E0A5B" w14:paraId="3F80C536" w14:textId="77777777" w:rsidTr="003E0A5B">
              <w:tc>
                <w:tcPr>
                  <w:tcW w:w="2659" w:type="dxa"/>
                </w:tcPr>
                <w:p w14:paraId="3731B3C1" w14:textId="6F2FF0FB" w:rsidR="003E0A5B" w:rsidRDefault="003E0A5B" w:rsidP="003E0A5B">
                  <w:pPr>
                    <w:rPr>
                      <w:b/>
                      <w:bCs/>
                    </w:rPr>
                  </w:pPr>
                  <w:r>
                    <w:t>Year</w:t>
                  </w:r>
                </w:p>
              </w:tc>
              <w:tc>
                <w:tcPr>
                  <w:tcW w:w="2659" w:type="dxa"/>
                </w:tcPr>
                <w:p w14:paraId="08C9C2D7" w14:textId="1D3CC572" w:rsidR="003E0A5B" w:rsidRDefault="003E0A5B" w:rsidP="003E0A5B">
                  <w:pPr>
                    <w:rPr>
                      <w:b/>
                      <w:bCs/>
                    </w:rPr>
                  </w:pPr>
                  <w:proofErr w:type="spellStart"/>
                  <w:r>
                    <w:t>GCal</w:t>
                  </w:r>
                  <w:proofErr w:type="spellEnd"/>
                  <w:r>
                    <w:t xml:space="preserve"> of Energy Consumed</w:t>
                  </w:r>
                </w:p>
              </w:tc>
              <w:tc>
                <w:tcPr>
                  <w:tcW w:w="2659" w:type="dxa"/>
                </w:tcPr>
                <w:p w14:paraId="3F446FC6" w14:textId="3F6F6E6C" w:rsidR="003E0A5B" w:rsidRDefault="003E0A5B" w:rsidP="003E0A5B">
                  <w:pPr>
                    <w:rPr>
                      <w:b/>
                      <w:bCs/>
                    </w:rPr>
                  </w:pPr>
                  <w:r>
                    <w:t>Net Income from Operations (INR Crores)</w:t>
                  </w:r>
                </w:p>
              </w:tc>
            </w:tr>
            <w:tr w:rsidR="003E0A5B" w14:paraId="3E37CF4E" w14:textId="77777777" w:rsidTr="003E0A5B">
              <w:tc>
                <w:tcPr>
                  <w:tcW w:w="2659" w:type="dxa"/>
                </w:tcPr>
                <w:p w14:paraId="00E0F74D" w14:textId="30EBEE11" w:rsidR="003E0A5B" w:rsidRDefault="003E0A5B" w:rsidP="003E0A5B">
                  <w:pPr>
                    <w:rPr>
                      <w:b/>
                      <w:bCs/>
                    </w:rPr>
                  </w:pPr>
                  <w:r>
                    <w:t>2016 -17</w:t>
                  </w:r>
                </w:p>
              </w:tc>
              <w:tc>
                <w:tcPr>
                  <w:tcW w:w="2659" w:type="dxa"/>
                </w:tcPr>
                <w:p w14:paraId="517BF8AC" w14:textId="77777777" w:rsidR="003E0A5B" w:rsidRDefault="003E0A5B" w:rsidP="003E0A5B">
                  <w:pPr>
                    <w:rPr>
                      <w:b/>
                      <w:bCs/>
                    </w:rPr>
                  </w:pPr>
                </w:p>
              </w:tc>
              <w:tc>
                <w:tcPr>
                  <w:tcW w:w="2659" w:type="dxa"/>
                </w:tcPr>
                <w:p w14:paraId="1BFFC511" w14:textId="77777777" w:rsidR="003E0A5B" w:rsidRDefault="003E0A5B" w:rsidP="003E0A5B">
                  <w:pPr>
                    <w:rPr>
                      <w:b/>
                      <w:bCs/>
                    </w:rPr>
                  </w:pPr>
                </w:p>
              </w:tc>
            </w:tr>
            <w:tr w:rsidR="003E0A5B" w14:paraId="7FF162BA" w14:textId="77777777" w:rsidTr="003E0A5B">
              <w:tc>
                <w:tcPr>
                  <w:tcW w:w="2659" w:type="dxa"/>
                </w:tcPr>
                <w:p w14:paraId="79EC9343" w14:textId="6618CAEE" w:rsidR="003E0A5B" w:rsidRDefault="003E0A5B" w:rsidP="003E0A5B">
                  <w:pPr>
                    <w:rPr>
                      <w:b/>
                      <w:bCs/>
                    </w:rPr>
                  </w:pPr>
                  <w:r>
                    <w:t>2017-18</w:t>
                  </w:r>
                </w:p>
              </w:tc>
              <w:tc>
                <w:tcPr>
                  <w:tcW w:w="2659" w:type="dxa"/>
                </w:tcPr>
                <w:p w14:paraId="03DA7930" w14:textId="77777777" w:rsidR="003E0A5B" w:rsidRDefault="003E0A5B" w:rsidP="003E0A5B">
                  <w:pPr>
                    <w:rPr>
                      <w:b/>
                      <w:bCs/>
                    </w:rPr>
                  </w:pPr>
                </w:p>
              </w:tc>
              <w:tc>
                <w:tcPr>
                  <w:tcW w:w="2659" w:type="dxa"/>
                </w:tcPr>
                <w:p w14:paraId="6F67E60D" w14:textId="77777777" w:rsidR="003E0A5B" w:rsidRDefault="003E0A5B" w:rsidP="003E0A5B">
                  <w:pPr>
                    <w:rPr>
                      <w:b/>
                      <w:bCs/>
                    </w:rPr>
                  </w:pPr>
                </w:p>
              </w:tc>
            </w:tr>
            <w:tr w:rsidR="003E0A5B" w14:paraId="69C1EEBE" w14:textId="77777777" w:rsidTr="003E0A5B">
              <w:tc>
                <w:tcPr>
                  <w:tcW w:w="2659" w:type="dxa"/>
                </w:tcPr>
                <w:p w14:paraId="0A914B60" w14:textId="31EF3302" w:rsidR="003E0A5B" w:rsidRPr="003E0A5B" w:rsidRDefault="003E0A5B" w:rsidP="003E0A5B">
                  <w:r w:rsidRPr="003E0A5B">
                    <w:t>2018-19</w:t>
                  </w:r>
                </w:p>
              </w:tc>
              <w:tc>
                <w:tcPr>
                  <w:tcW w:w="2659" w:type="dxa"/>
                </w:tcPr>
                <w:p w14:paraId="03055953" w14:textId="77777777" w:rsidR="003E0A5B" w:rsidRDefault="003E0A5B" w:rsidP="003E0A5B">
                  <w:pPr>
                    <w:rPr>
                      <w:b/>
                      <w:bCs/>
                    </w:rPr>
                  </w:pPr>
                </w:p>
              </w:tc>
              <w:tc>
                <w:tcPr>
                  <w:tcW w:w="2659" w:type="dxa"/>
                </w:tcPr>
                <w:p w14:paraId="7F408882" w14:textId="77777777" w:rsidR="003E0A5B" w:rsidRDefault="003E0A5B" w:rsidP="003E0A5B">
                  <w:pPr>
                    <w:rPr>
                      <w:b/>
                      <w:bCs/>
                    </w:rPr>
                  </w:pPr>
                </w:p>
              </w:tc>
            </w:tr>
          </w:tbl>
          <w:p w14:paraId="3E99968B" w14:textId="77777777" w:rsidR="003E0A5B" w:rsidRPr="000A0CF0" w:rsidRDefault="003E0A5B" w:rsidP="003E0A5B">
            <w:pPr>
              <w:rPr>
                <w:b/>
                <w:bCs/>
              </w:rPr>
            </w:pPr>
          </w:p>
        </w:tc>
      </w:tr>
      <w:tr w:rsidR="00FE1888" w14:paraId="39141310" w14:textId="77777777" w:rsidTr="00602111">
        <w:tc>
          <w:tcPr>
            <w:tcW w:w="571" w:type="dxa"/>
            <w:tcBorders>
              <w:top w:val="double" w:sz="4" w:space="0" w:color="auto"/>
              <w:left w:val="double" w:sz="4" w:space="0" w:color="auto"/>
              <w:bottom w:val="double" w:sz="4" w:space="0" w:color="auto"/>
              <w:right w:val="double" w:sz="4" w:space="0" w:color="auto"/>
            </w:tcBorders>
          </w:tcPr>
          <w:p w14:paraId="270723A9" w14:textId="6D2EFE86" w:rsidR="00FE1888" w:rsidRDefault="00FE1888" w:rsidP="00FE1888">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14:paraId="57EFC6B6" w14:textId="3EE74048" w:rsidR="00FE1888" w:rsidRPr="000A0CF0" w:rsidRDefault="00FE1888" w:rsidP="00FE1888">
            <w:pPr>
              <w:rPr>
                <w:b/>
              </w:rPr>
            </w:pPr>
            <w:r w:rsidRPr="008D107E">
              <w:rPr>
                <w:b/>
              </w:rPr>
              <w:t>Increase in carbon footprint of the company</w:t>
            </w:r>
          </w:p>
        </w:tc>
        <w:tc>
          <w:tcPr>
            <w:tcW w:w="1843" w:type="dxa"/>
            <w:tcBorders>
              <w:top w:val="double" w:sz="4" w:space="0" w:color="auto"/>
              <w:left w:val="double" w:sz="4" w:space="0" w:color="auto"/>
              <w:bottom w:val="double" w:sz="4" w:space="0" w:color="auto"/>
              <w:right w:val="double" w:sz="4" w:space="0" w:color="auto"/>
            </w:tcBorders>
          </w:tcPr>
          <w:p w14:paraId="24A7166D" w14:textId="77777777" w:rsidR="00FE1888" w:rsidRPr="000A0CF0" w:rsidRDefault="00FE1888" w:rsidP="00FE1888">
            <w:pPr>
              <w:rPr>
                <w:b/>
                <w:bCs/>
              </w:rPr>
            </w:pPr>
          </w:p>
        </w:tc>
      </w:tr>
      <w:tr w:rsidR="00D864A7" w14:paraId="7380AF17" w14:textId="77777777" w:rsidTr="00A10678">
        <w:tc>
          <w:tcPr>
            <w:tcW w:w="571" w:type="dxa"/>
            <w:tcBorders>
              <w:top w:val="double" w:sz="4" w:space="0" w:color="auto"/>
              <w:left w:val="double" w:sz="4" w:space="0" w:color="auto"/>
              <w:bottom w:val="double" w:sz="4" w:space="0" w:color="auto"/>
              <w:right w:val="double" w:sz="4" w:space="0" w:color="auto"/>
            </w:tcBorders>
          </w:tcPr>
          <w:p w14:paraId="20ED5541" w14:textId="77777777" w:rsidR="00D864A7" w:rsidRDefault="00D864A7" w:rsidP="00FE1888">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D864A7" w:rsidRPr="009A4313" w14:paraId="1AA74D4E" w14:textId="77777777" w:rsidTr="00253304">
              <w:tc>
                <w:tcPr>
                  <w:tcW w:w="6254" w:type="dxa"/>
                  <w:tcBorders>
                    <w:top w:val="nil"/>
                    <w:left w:val="nil"/>
                    <w:bottom w:val="single" w:sz="4" w:space="0" w:color="auto"/>
                    <w:right w:val="single" w:sz="4" w:space="0" w:color="auto"/>
                  </w:tcBorders>
                </w:tcPr>
                <w:p w14:paraId="24D9F3E5" w14:textId="77777777" w:rsidR="00D864A7" w:rsidRPr="009A4313" w:rsidRDefault="00D864A7" w:rsidP="00D864A7">
                  <w:pPr>
                    <w:ind w:right="274"/>
                    <w:rPr>
                      <w:sz w:val="22"/>
                      <w:szCs w:val="22"/>
                    </w:rPr>
                  </w:pPr>
                </w:p>
              </w:tc>
              <w:tc>
                <w:tcPr>
                  <w:tcW w:w="1719" w:type="dxa"/>
                  <w:tcBorders>
                    <w:left w:val="single" w:sz="4" w:space="0" w:color="auto"/>
                    <w:bottom w:val="single" w:sz="4" w:space="0" w:color="auto"/>
                  </w:tcBorders>
                </w:tcPr>
                <w:p w14:paraId="33BD5492" w14:textId="77777777" w:rsidR="00D864A7" w:rsidRPr="00D864A7" w:rsidRDefault="00D864A7" w:rsidP="00D864A7">
                  <w:pPr>
                    <w:tabs>
                      <w:tab w:val="left" w:pos="1466"/>
                    </w:tabs>
                    <w:ind w:right="274"/>
                    <w:rPr>
                      <w:b/>
                      <w:bCs/>
                      <w:sz w:val="20"/>
                      <w:szCs w:val="20"/>
                    </w:rPr>
                  </w:pPr>
                  <w:r w:rsidRPr="00D864A7">
                    <w:rPr>
                      <w:b/>
                      <w:bCs/>
                      <w:sz w:val="20"/>
                      <w:szCs w:val="20"/>
                    </w:rPr>
                    <w:t xml:space="preserve">In Million Tons </w:t>
                  </w:r>
                </w:p>
                <w:p w14:paraId="586E4DB0" w14:textId="28AA9906" w:rsidR="00D864A7" w:rsidRPr="00D864A7" w:rsidRDefault="00D864A7" w:rsidP="00D864A7">
                  <w:pPr>
                    <w:ind w:right="274"/>
                    <w:rPr>
                      <w:b/>
                      <w:bCs/>
                      <w:sz w:val="20"/>
                      <w:szCs w:val="20"/>
                    </w:rPr>
                  </w:pPr>
                </w:p>
              </w:tc>
            </w:tr>
            <w:tr w:rsidR="00D864A7" w:rsidRPr="009A4313" w14:paraId="38A89944" w14:textId="77777777" w:rsidTr="00253304">
              <w:trPr>
                <w:trHeight w:val="397"/>
              </w:trPr>
              <w:tc>
                <w:tcPr>
                  <w:tcW w:w="6254" w:type="dxa"/>
                  <w:tcBorders>
                    <w:top w:val="single" w:sz="4" w:space="0" w:color="auto"/>
                  </w:tcBorders>
                </w:tcPr>
                <w:p w14:paraId="1F4D6030" w14:textId="03FDB031" w:rsidR="00D864A7" w:rsidRPr="00D864A7" w:rsidRDefault="00D864A7" w:rsidP="00D864A7">
                  <w:pPr>
                    <w:ind w:right="274"/>
                    <w:rPr>
                      <w:sz w:val="22"/>
                      <w:szCs w:val="22"/>
                    </w:rPr>
                  </w:pPr>
                  <w:r w:rsidRPr="00D864A7">
                    <w:rPr>
                      <w:sz w:val="22"/>
                      <w:szCs w:val="22"/>
                    </w:rPr>
                    <w:t>Total carbon emission (in CO2 eq.) of the company in 2018-19</w:t>
                  </w:r>
                </w:p>
              </w:tc>
              <w:tc>
                <w:tcPr>
                  <w:tcW w:w="1719" w:type="dxa"/>
                  <w:tcBorders>
                    <w:top w:val="single" w:sz="4" w:space="0" w:color="auto"/>
                  </w:tcBorders>
                </w:tcPr>
                <w:p w14:paraId="766FC369" w14:textId="77777777" w:rsidR="00D864A7" w:rsidRPr="009A4313" w:rsidRDefault="00D864A7" w:rsidP="00D864A7">
                  <w:pPr>
                    <w:ind w:right="274"/>
                    <w:rPr>
                      <w:sz w:val="22"/>
                      <w:szCs w:val="22"/>
                    </w:rPr>
                  </w:pPr>
                </w:p>
              </w:tc>
            </w:tr>
            <w:tr w:rsidR="00D864A7" w:rsidRPr="009A4313" w14:paraId="240A3824" w14:textId="77777777" w:rsidTr="00253304">
              <w:trPr>
                <w:trHeight w:val="397"/>
              </w:trPr>
              <w:tc>
                <w:tcPr>
                  <w:tcW w:w="6254" w:type="dxa"/>
                </w:tcPr>
                <w:p w14:paraId="370CA4F0" w14:textId="27013166" w:rsidR="00D864A7" w:rsidRPr="00D864A7" w:rsidRDefault="00D864A7" w:rsidP="00D864A7">
                  <w:pPr>
                    <w:ind w:right="274"/>
                    <w:rPr>
                      <w:sz w:val="22"/>
                      <w:szCs w:val="22"/>
                    </w:rPr>
                  </w:pPr>
                  <w:r w:rsidRPr="00D864A7">
                    <w:rPr>
                      <w:sz w:val="22"/>
                      <w:szCs w:val="22"/>
                    </w:rPr>
                    <w:lastRenderedPageBreak/>
                    <w:t>Total carbon emission (in CO2 eq.) of the company in 2017-18</w:t>
                  </w:r>
                </w:p>
              </w:tc>
              <w:tc>
                <w:tcPr>
                  <w:tcW w:w="1719" w:type="dxa"/>
                </w:tcPr>
                <w:p w14:paraId="7B205FDA" w14:textId="77777777" w:rsidR="00D864A7" w:rsidRPr="009A4313" w:rsidRDefault="00D864A7" w:rsidP="00D864A7">
                  <w:pPr>
                    <w:ind w:right="274"/>
                    <w:rPr>
                      <w:sz w:val="22"/>
                      <w:szCs w:val="22"/>
                    </w:rPr>
                  </w:pPr>
                </w:p>
              </w:tc>
            </w:tr>
            <w:tr w:rsidR="00D864A7" w:rsidRPr="009A4313" w14:paraId="1FB8F7D8" w14:textId="77777777" w:rsidTr="00253304">
              <w:trPr>
                <w:trHeight w:val="397"/>
              </w:trPr>
              <w:tc>
                <w:tcPr>
                  <w:tcW w:w="6254" w:type="dxa"/>
                </w:tcPr>
                <w:p w14:paraId="300347B6" w14:textId="77777777" w:rsidR="00D864A7" w:rsidRPr="00D864A7" w:rsidRDefault="00D864A7" w:rsidP="00D864A7">
                  <w:pPr>
                    <w:ind w:right="274"/>
                    <w:rPr>
                      <w:sz w:val="22"/>
                      <w:szCs w:val="22"/>
                    </w:rPr>
                  </w:pPr>
                  <w:r w:rsidRPr="00D864A7">
                    <w:rPr>
                      <w:sz w:val="22"/>
                      <w:szCs w:val="22"/>
                    </w:rPr>
                    <w:t>Total carbon emission (in CO2 eq.) of the company in 2016-17</w:t>
                  </w:r>
                </w:p>
                <w:p w14:paraId="37187FFD" w14:textId="73D0E58D" w:rsidR="00D864A7" w:rsidRPr="00D864A7" w:rsidRDefault="00D864A7" w:rsidP="00D864A7">
                  <w:pPr>
                    <w:ind w:right="274"/>
                    <w:rPr>
                      <w:sz w:val="22"/>
                      <w:szCs w:val="22"/>
                    </w:rPr>
                  </w:pPr>
                </w:p>
              </w:tc>
              <w:tc>
                <w:tcPr>
                  <w:tcW w:w="1719" w:type="dxa"/>
                </w:tcPr>
                <w:p w14:paraId="41F2EE9E" w14:textId="77777777" w:rsidR="00D864A7" w:rsidRPr="009A4313" w:rsidRDefault="00D864A7" w:rsidP="00D864A7">
                  <w:pPr>
                    <w:ind w:right="274"/>
                    <w:rPr>
                      <w:sz w:val="22"/>
                      <w:szCs w:val="22"/>
                    </w:rPr>
                  </w:pPr>
                </w:p>
              </w:tc>
            </w:tr>
          </w:tbl>
          <w:p w14:paraId="45D0BA1C" w14:textId="77777777" w:rsidR="00D864A7" w:rsidRPr="000A0CF0" w:rsidRDefault="00D864A7" w:rsidP="00FE1888">
            <w:pPr>
              <w:rPr>
                <w:b/>
                <w:bCs/>
              </w:rPr>
            </w:pPr>
          </w:p>
        </w:tc>
      </w:tr>
      <w:tr w:rsidR="00D864A7" w14:paraId="6B7E26AB" w14:textId="77777777" w:rsidTr="00602111">
        <w:tc>
          <w:tcPr>
            <w:tcW w:w="571" w:type="dxa"/>
            <w:tcBorders>
              <w:top w:val="double" w:sz="4" w:space="0" w:color="auto"/>
              <w:left w:val="double" w:sz="4" w:space="0" w:color="auto"/>
              <w:bottom w:val="double" w:sz="4" w:space="0" w:color="auto"/>
              <w:right w:val="double" w:sz="4" w:space="0" w:color="auto"/>
            </w:tcBorders>
          </w:tcPr>
          <w:p w14:paraId="767778D4" w14:textId="036AB6BD" w:rsidR="00D864A7" w:rsidRDefault="00D864A7" w:rsidP="00D864A7">
            <w:pPr>
              <w:rPr>
                <w:b/>
              </w:rPr>
            </w:pPr>
            <w:r w:rsidRPr="00B34805">
              <w:rPr>
                <w:b/>
              </w:rPr>
              <w:lastRenderedPageBreak/>
              <w:t>8</w:t>
            </w:r>
          </w:p>
        </w:tc>
        <w:tc>
          <w:tcPr>
            <w:tcW w:w="6360" w:type="dxa"/>
            <w:tcBorders>
              <w:top w:val="double" w:sz="4" w:space="0" w:color="auto"/>
              <w:left w:val="double" w:sz="4" w:space="0" w:color="auto"/>
              <w:bottom w:val="double" w:sz="4" w:space="0" w:color="auto"/>
              <w:right w:val="double" w:sz="4" w:space="0" w:color="auto"/>
            </w:tcBorders>
          </w:tcPr>
          <w:p w14:paraId="606343E4" w14:textId="2FF1263C" w:rsidR="00D864A7" w:rsidRPr="000A0CF0" w:rsidRDefault="00D864A7" w:rsidP="00D864A7">
            <w:pPr>
              <w:rPr>
                <w:b/>
              </w:rPr>
            </w:pPr>
            <w:r w:rsidRPr="008D107E">
              <w:rPr>
                <w:b/>
              </w:rPr>
              <w:t>Impact on society</w:t>
            </w:r>
          </w:p>
        </w:tc>
        <w:tc>
          <w:tcPr>
            <w:tcW w:w="1843" w:type="dxa"/>
            <w:tcBorders>
              <w:top w:val="double" w:sz="4" w:space="0" w:color="auto"/>
              <w:left w:val="double" w:sz="4" w:space="0" w:color="auto"/>
              <w:bottom w:val="double" w:sz="4" w:space="0" w:color="auto"/>
              <w:right w:val="double" w:sz="4" w:space="0" w:color="auto"/>
            </w:tcBorders>
          </w:tcPr>
          <w:p w14:paraId="5B306ACD" w14:textId="77777777" w:rsidR="00D864A7" w:rsidRPr="000A0CF0" w:rsidRDefault="00D864A7" w:rsidP="00D864A7">
            <w:pPr>
              <w:rPr>
                <w:b/>
                <w:bCs/>
              </w:rPr>
            </w:pPr>
          </w:p>
        </w:tc>
      </w:tr>
      <w:tr w:rsidR="00D864A7" w14:paraId="29F34909" w14:textId="77777777" w:rsidTr="004F6133">
        <w:tc>
          <w:tcPr>
            <w:tcW w:w="571" w:type="dxa"/>
            <w:tcBorders>
              <w:top w:val="double" w:sz="4" w:space="0" w:color="auto"/>
              <w:left w:val="double" w:sz="4" w:space="0" w:color="auto"/>
              <w:bottom w:val="double" w:sz="4" w:space="0" w:color="auto"/>
              <w:right w:val="double" w:sz="4" w:space="0" w:color="auto"/>
            </w:tcBorders>
          </w:tcPr>
          <w:p w14:paraId="14A39B4F" w14:textId="77777777" w:rsidR="00D864A7" w:rsidRDefault="00D864A7" w:rsidP="00D864A7">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6E8C9483" w14:textId="77777777" w:rsidR="00D864A7" w:rsidRPr="00380426" w:rsidRDefault="00D864A7" w:rsidP="00D864A7">
            <w:pPr>
              <w:ind w:right="274"/>
              <w:rPr>
                <w:b/>
                <w:bCs/>
              </w:rPr>
            </w:pPr>
            <w:r w:rsidRPr="00380426">
              <w:rPr>
                <w:b/>
                <w:bCs/>
              </w:rPr>
              <w:t>Details of initiatives in bullet points (with quantifiable measures) taken by the company which was successful in improving society</w:t>
            </w:r>
          </w:p>
          <w:p w14:paraId="4EFA7538" w14:textId="77777777" w:rsidR="00D864A7" w:rsidRDefault="00D864A7" w:rsidP="00D864A7">
            <w:pPr>
              <w:rPr>
                <w:b/>
                <w:bCs/>
              </w:rPr>
            </w:pPr>
          </w:p>
          <w:p w14:paraId="4D9EEFE9" w14:textId="77777777" w:rsidR="00D864A7" w:rsidRDefault="00D864A7" w:rsidP="00D864A7">
            <w:pPr>
              <w:rPr>
                <w:b/>
                <w:bCs/>
              </w:rPr>
            </w:pPr>
          </w:p>
          <w:p w14:paraId="2E35660B" w14:textId="77777777" w:rsidR="00D864A7" w:rsidRDefault="00D864A7" w:rsidP="00D864A7">
            <w:pPr>
              <w:rPr>
                <w:b/>
                <w:bCs/>
              </w:rPr>
            </w:pPr>
          </w:p>
          <w:p w14:paraId="64861C6A" w14:textId="77777777" w:rsidR="00D864A7" w:rsidRDefault="00D864A7" w:rsidP="00D864A7">
            <w:pPr>
              <w:rPr>
                <w:b/>
                <w:bCs/>
              </w:rPr>
            </w:pPr>
          </w:p>
          <w:p w14:paraId="3AB0C145" w14:textId="51988DD6" w:rsidR="00D864A7" w:rsidRPr="000A0CF0" w:rsidRDefault="00D864A7" w:rsidP="00D864A7">
            <w:pPr>
              <w:rPr>
                <w:b/>
                <w:bCs/>
              </w:rPr>
            </w:pPr>
          </w:p>
        </w:tc>
      </w:tr>
    </w:tbl>
    <w:p w14:paraId="7E43B710" w14:textId="33912D5E" w:rsidR="007A4339" w:rsidRDefault="007A4339" w:rsidP="007A4339"/>
    <w:p w14:paraId="63863727" w14:textId="2EFEC25D" w:rsidR="003E0A5B" w:rsidRDefault="003E0A5B" w:rsidP="007A4339"/>
    <w:p w14:paraId="7E733289" w14:textId="2466C049" w:rsidR="003E0A5B" w:rsidRDefault="003E0A5B" w:rsidP="007A4339"/>
    <w:p w14:paraId="14EB7695" w14:textId="77777777" w:rsidR="003E0A5B" w:rsidRPr="007A4339" w:rsidRDefault="003E0A5B" w:rsidP="007A4339"/>
    <w:p w14:paraId="53E54383" w14:textId="77777777" w:rsidR="00501F44" w:rsidRDefault="00501F44" w:rsidP="00B35A69">
      <w:pPr>
        <w:shd w:val="clear" w:color="auto" w:fill="FFFFFF"/>
        <w:spacing w:line="600" w:lineRule="auto"/>
        <w:jc w:val="both"/>
        <w:rPr>
          <w:b/>
          <w:bCs/>
          <w:color w:val="000000"/>
          <w:spacing w:val="5"/>
          <w:sz w:val="34"/>
          <w:szCs w:val="34"/>
        </w:rPr>
      </w:pPr>
    </w:p>
    <w:p w14:paraId="496D9201" w14:textId="031A527B" w:rsidR="001075E1" w:rsidRDefault="001075E1">
      <w:pPr>
        <w:rPr>
          <w:b/>
          <w:bCs/>
          <w:color w:val="000000"/>
          <w:spacing w:val="5"/>
          <w:sz w:val="34"/>
          <w:szCs w:val="34"/>
        </w:rPr>
      </w:pPr>
      <w:r>
        <w:rPr>
          <w:b/>
          <w:bCs/>
          <w:color w:val="000000"/>
          <w:spacing w:val="5"/>
          <w:sz w:val="34"/>
          <w:szCs w:val="34"/>
        </w:rPr>
        <w:br w:type="page"/>
      </w:r>
    </w:p>
    <w:p w14:paraId="0B87038A"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431D2C92" w14:textId="77777777" w:rsidTr="001C465E">
        <w:tc>
          <w:tcPr>
            <w:tcW w:w="630" w:type="dxa"/>
          </w:tcPr>
          <w:p w14:paraId="559F6A12"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FB5236E"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771A7993" w14:textId="77777777" w:rsidTr="005364D3">
        <w:trPr>
          <w:trHeight w:val="432"/>
        </w:trPr>
        <w:tc>
          <w:tcPr>
            <w:tcW w:w="630" w:type="dxa"/>
          </w:tcPr>
          <w:p w14:paraId="5143AF4F"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2CA95479" w14:textId="77777777" w:rsidR="001075E1" w:rsidRPr="000A0CF0" w:rsidRDefault="001075E1" w:rsidP="001C465E">
            <w:pPr>
              <w:jc w:val="both"/>
              <w:rPr>
                <w:color w:val="000000"/>
                <w:spacing w:val="5"/>
              </w:rPr>
            </w:pPr>
          </w:p>
        </w:tc>
      </w:tr>
      <w:tr w:rsidR="001075E1" w:rsidRPr="000A0CF0" w14:paraId="30F1F9A0" w14:textId="77777777" w:rsidTr="005364D3">
        <w:trPr>
          <w:trHeight w:val="432"/>
        </w:trPr>
        <w:tc>
          <w:tcPr>
            <w:tcW w:w="630" w:type="dxa"/>
          </w:tcPr>
          <w:p w14:paraId="4DB6F184"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7E5C2B31" w14:textId="77777777" w:rsidR="001075E1" w:rsidRPr="000A0CF0" w:rsidRDefault="001075E1" w:rsidP="001C465E">
            <w:pPr>
              <w:jc w:val="both"/>
              <w:rPr>
                <w:color w:val="000000"/>
                <w:spacing w:val="5"/>
              </w:rPr>
            </w:pPr>
          </w:p>
        </w:tc>
      </w:tr>
      <w:tr w:rsidR="001075E1" w:rsidRPr="000A0CF0" w14:paraId="45AEA17F" w14:textId="77777777" w:rsidTr="005364D3">
        <w:trPr>
          <w:trHeight w:val="432"/>
        </w:trPr>
        <w:tc>
          <w:tcPr>
            <w:tcW w:w="630" w:type="dxa"/>
          </w:tcPr>
          <w:p w14:paraId="4E024EA8"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49907393" w14:textId="77777777" w:rsidR="001075E1" w:rsidRPr="000A0CF0" w:rsidRDefault="001075E1" w:rsidP="001C465E">
            <w:pPr>
              <w:jc w:val="both"/>
              <w:rPr>
                <w:color w:val="000000"/>
                <w:spacing w:val="5"/>
              </w:rPr>
            </w:pPr>
          </w:p>
        </w:tc>
      </w:tr>
      <w:tr w:rsidR="001075E1" w:rsidRPr="000A0CF0" w14:paraId="104CC291" w14:textId="77777777" w:rsidTr="005364D3">
        <w:trPr>
          <w:trHeight w:val="432"/>
        </w:trPr>
        <w:tc>
          <w:tcPr>
            <w:tcW w:w="630" w:type="dxa"/>
          </w:tcPr>
          <w:p w14:paraId="57766FD5"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75AD3164" w14:textId="77777777" w:rsidR="001075E1" w:rsidRPr="000A0CF0" w:rsidRDefault="001075E1" w:rsidP="001C465E">
            <w:pPr>
              <w:jc w:val="both"/>
              <w:rPr>
                <w:color w:val="000000"/>
                <w:spacing w:val="5"/>
              </w:rPr>
            </w:pPr>
          </w:p>
        </w:tc>
      </w:tr>
      <w:tr w:rsidR="001075E1" w:rsidRPr="000A0CF0" w14:paraId="4A0B1C54" w14:textId="77777777" w:rsidTr="005364D3">
        <w:trPr>
          <w:trHeight w:val="432"/>
        </w:trPr>
        <w:tc>
          <w:tcPr>
            <w:tcW w:w="630" w:type="dxa"/>
          </w:tcPr>
          <w:p w14:paraId="6BD0E441"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47D17891" w14:textId="77777777" w:rsidR="001075E1" w:rsidRPr="000A0CF0" w:rsidRDefault="001075E1" w:rsidP="001C465E">
            <w:pPr>
              <w:jc w:val="both"/>
              <w:rPr>
                <w:color w:val="000000"/>
                <w:spacing w:val="5"/>
              </w:rPr>
            </w:pPr>
          </w:p>
        </w:tc>
      </w:tr>
      <w:tr w:rsidR="001075E1" w:rsidRPr="000A0CF0" w14:paraId="1B948E62" w14:textId="77777777" w:rsidTr="005364D3">
        <w:trPr>
          <w:trHeight w:val="432"/>
        </w:trPr>
        <w:tc>
          <w:tcPr>
            <w:tcW w:w="630" w:type="dxa"/>
          </w:tcPr>
          <w:p w14:paraId="274AB190" w14:textId="77777777" w:rsidR="001075E1" w:rsidRPr="000A0CF0" w:rsidRDefault="001075E1" w:rsidP="001C465E">
            <w:pPr>
              <w:jc w:val="both"/>
              <w:rPr>
                <w:color w:val="000000"/>
                <w:spacing w:val="5"/>
              </w:rPr>
            </w:pPr>
          </w:p>
        </w:tc>
        <w:tc>
          <w:tcPr>
            <w:tcW w:w="9270" w:type="dxa"/>
          </w:tcPr>
          <w:p w14:paraId="778A9C21" w14:textId="77777777" w:rsidR="001075E1" w:rsidRPr="000A0CF0" w:rsidRDefault="001075E1" w:rsidP="001C465E">
            <w:pPr>
              <w:jc w:val="both"/>
              <w:rPr>
                <w:color w:val="000000"/>
                <w:spacing w:val="5"/>
              </w:rPr>
            </w:pPr>
          </w:p>
        </w:tc>
      </w:tr>
    </w:tbl>
    <w:p w14:paraId="2D270AC3" w14:textId="77777777" w:rsidR="001075E1" w:rsidRDefault="001075E1" w:rsidP="001075E1">
      <w:pPr>
        <w:rPr>
          <w:b/>
        </w:rPr>
      </w:pPr>
    </w:p>
    <w:p w14:paraId="4DD4A76B" w14:textId="2970A35F" w:rsidR="00153272" w:rsidRPr="00153272" w:rsidRDefault="0019703F"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6138427C" wp14:editId="767B0E02">
                <wp:simplePos x="0" y="0"/>
                <wp:positionH relativeFrom="column">
                  <wp:posOffset>-4445</wp:posOffset>
                </wp:positionH>
                <wp:positionV relativeFrom="paragraph">
                  <wp:posOffset>587375</wp:posOffset>
                </wp:positionV>
                <wp:extent cx="5781675" cy="4457700"/>
                <wp:effectExtent l="57150" t="38100" r="85725" b="95250"/>
                <wp:wrapNone/>
                <wp:docPr id="4" name="Text Box 4"/>
                <wp:cNvGraphicFramePr/>
                <a:graphic xmlns:a="http://schemas.openxmlformats.org/drawingml/2006/main">
                  <a:graphicData uri="http://schemas.microsoft.com/office/word/2010/wordprocessingShape">
                    <wps:wsp>
                      <wps:cNvSpPr txBox="1"/>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7B627436" w14:textId="56533022"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0B112F63" w14:textId="77777777" w:rsidR="0019703F" w:rsidRPr="00930B56" w:rsidRDefault="0019703F" w:rsidP="0019703F">
                            <w:pPr>
                              <w:jc w:val="both"/>
                              <w:rPr>
                                <w:rFonts w:ascii="Trebuchet MS" w:hAnsi="Trebuchet MS" w:cs="Tahoma"/>
                                <w:sz w:val="22"/>
                                <w:szCs w:val="22"/>
                                <w:shd w:val="clear" w:color="auto" w:fill="FFFFFF"/>
                              </w:rPr>
                            </w:pPr>
                          </w:p>
                          <w:p w14:paraId="2D538E81"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98EC4C6"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51FDEEE"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2B84C2A"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B75E30A" w14:textId="77777777" w:rsidR="00513307" w:rsidRPr="00AF7CDA" w:rsidRDefault="0019703F" w:rsidP="0051330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513307" w:rsidRPr="00AF7CDA">
                                <w:rPr>
                                  <w:rStyle w:val="Hyperlink"/>
                                  <w:rFonts w:ascii="Trebuchet MS" w:hAnsi="Trebuchet MS" w:cs="Tahoma"/>
                                  <w:sz w:val="21"/>
                                  <w:szCs w:val="21"/>
                                  <w:shd w:val="clear" w:color="auto" w:fill="FFFFFF"/>
                                </w:rPr>
                                <w:t>https://www.fipi.org.in/index.php/awards-2019-scheme</w:t>
                              </w:r>
                            </w:hyperlink>
                          </w:p>
                          <w:p w14:paraId="147172C9" w14:textId="2CAD3278"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5F4D3CA5"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8427C" id="Text Box 4" o:spid="_x0000_s1027"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" fillcolor="white [3212]" strokecolor="#40a7c2 [3048]">
                <v:shadow on="t" color="black" opacity="24903f" origin=",.5" offset="0,.55556mm"/>
                <v:textbox>
                  <w:txbxContent>
                    <w:p w14:paraId="7B627436" w14:textId="56533022"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0B112F63" w14:textId="77777777" w:rsidR="0019703F" w:rsidRPr="00930B56" w:rsidRDefault="0019703F" w:rsidP="0019703F">
                      <w:pPr>
                        <w:jc w:val="both"/>
                        <w:rPr>
                          <w:rFonts w:ascii="Trebuchet MS" w:hAnsi="Trebuchet MS" w:cs="Tahoma"/>
                          <w:sz w:val="22"/>
                          <w:szCs w:val="22"/>
                          <w:shd w:val="clear" w:color="auto" w:fill="FFFFFF"/>
                        </w:rPr>
                      </w:pPr>
                    </w:p>
                    <w:p w14:paraId="2D538E81"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98EC4C6"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51FDEEE"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2B84C2A"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0B75E30A" w14:textId="77777777" w:rsidR="00513307" w:rsidRPr="00AF7CDA" w:rsidRDefault="0019703F" w:rsidP="0051330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513307" w:rsidRPr="00AF7CDA">
                          <w:rPr>
                            <w:rStyle w:val="Hyperlink"/>
                            <w:rFonts w:ascii="Trebuchet MS" w:hAnsi="Trebuchet MS" w:cs="Tahoma"/>
                            <w:sz w:val="21"/>
                            <w:szCs w:val="21"/>
                            <w:shd w:val="clear" w:color="auto" w:fill="FFFFFF"/>
                          </w:rPr>
                          <w:t>https://www.fipi.org.in/index.php/awards-2019-scheme</w:t>
                        </w:r>
                      </w:hyperlink>
                    </w:p>
                    <w:p w14:paraId="147172C9" w14:textId="2CAD3278"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5F4D3CA5"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6481" w14:textId="77777777" w:rsidR="00373143" w:rsidRDefault="00373143">
      <w:r>
        <w:separator/>
      </w:r>
    </w:p>
  </w:endnote>
  <w:endnote w:type="continuationSeparator" w:id="0">
    <w:p w14:paraId="40742303" w14:textId="77777777" w:rsidR="00373143" w:rsidRDefault="0037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D474"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6DA41794" wp14:editId="4F9D3148">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1486"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713A8A">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713A8A">
      <w:rPr>
        <w:rStyle w:val="PageNumber"/>
        <w:rFonts w:ascii="Arial" w:hAnsi="Arial" w:cs="Arial"/>
        <w:noProof/>
        <w:sz w:val="20"/>
        <w:szCs w:val="20"/>
      </w:rPr>
      <w:t>9</w:t>
    </w:r>
    <w:r w:rsidRPr="0044760F">
      <w:rPr>
        <w:rStyle w:val="PageNumber"/>
        <w:rFonts w:ascii="Arial" w:hAnsi="Arial" w:cs="Arial"/>
        <w:sz w:val="20"/>
        <w:szCs w:val="20"/>
      </w:rPr>
      <w:fldChar w:fldCharType="end"/>
    </w:r>
  </w:p>
  <w:p w14:paraId="3DFE38C9"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5CD55E45"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38009"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0FCF4E01" wp14:editId="5C7888F9">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D6FC"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13A8A">
      <w:rPr>
        <w:rFonts w:ascii="Arial" w:hAnsi="Arial" w:cs="Arial"/>
        <w:noProof/>
        <w:sz w:val="20"/>
        <w:szCs w:val="20"/>
      </w:rPr>
      <w:t>9</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13A8A">
      <w:rPr>
        <w:rFonts w:ascii="Arial" w:hAnsi="Arial" w:cs="Arial"/>
        <w:noProof/>
        <w:sz w:val="20"/>
        <w:szCs w:val="20"/>
      </w:rPr>
      <w:t>9</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1133C43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9FA78FA"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EBC5" w14:textId="77777777"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7074B915" wp14:editId="48ED4181">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EEC3"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713A8A">
      <w:rPr>
        <w:rFonts w:ascii="Arial" w:hAnsi="Arial" w:cs="Arial"/>
        <w:noProof/>
        <w:sz w:val="20"/>
        <w:szCs w:val="20"/>
      </w:rPr>
      <w:t>5</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713A8A">
      <w:rPr>
        <w:rFonts w:ascii="Arial" w:hAnsi="Arial" w:cs="Arial"/>
        <w:noProof/>
        <w:sz w:val="20"/>
        <w:szCs w:val="20"/>
      </w:rPr>
      <w:t>9</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20FCBCFC"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AEACFEA"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51ED" w14:textId="77777777" w:rsidR="00373143" w:rsidRDefault="00373143">
      <w:r>
        <w:separator/>
      </w:r>
    </w:p>
  </w:footnote>
  <w:footnote w:type="continuationSeparator" w:id="0">
    <w:p w14:paraId="7FD85C84" w14:textId="77777777" w:rsidR="00373143" w:rsidRDefault="0037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301E"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bidi="hi-IN"/>
      </w:rPr>
      <w:drawing>
        <wp:inline distT="0" distB="0" distL="0" distR="0" wp14:anchorId="02579D99" wp14:editId="7645A41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7181C883"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5168" behindDoc="0" locked="0" layoutInCell="1" allowOverlap="1" wp14:anchorId="68B3E8F7" wp14:editId="44783599">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A305"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1AF62CB9"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BE8E"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bidi="hi-IN"/>
      </w:rPr>
      <w:drawing>
        <wp:inline distT="0" distB="0" distL="0" distR="0" wp14:anchorId="04B38B67" wp14:editId="52AD0F8A">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0B911FF0"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6192" behindDoc="0" locked="0" layoutInCell="1" allowOverlap="1" wp14:anchorId="13D9ED93" wp14:editId="5439FC9F">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1928"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5982DF33"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266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bidi="hi-IN"/>
      </w:rPr>
      <w:drawing>
        <wp:inline distT="0" distB="0" distL="0" distR="0" wp14:anchorId="007EF03D" wp14:editId="172B8EED">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708E2C1D"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9264" behindDoc="0" locked="0" layoutInCell="1" allowOverlap="1" wp14:anchorId="585D8678" wp14:editId="7D16E519">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0620"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1796"/>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6E7F"/>
    <w:rsid w:val="002D0CD7"/>
    <w:rsid w:val="002D2029"/>
    <w:rsid w:val="002D77A2"/>
    <w:rsid w:val="002E1F4B"/>
    <w:rsid w:val="002E2EF1"/>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6690"/>
    <w:rsid w:val="00386D09"/>
    <w:rsid w:val="00394103"/>
    <w:rsid w:val="0039762B"/>
    <w:rsid w:val="00397911"/>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44F"/>
    <w:rsid w:val="003E79D8"/>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E04D3"/>
    <w:rsid w:val="004E09DD"/>
    <w:rsid w:val="004E2FAE"/>
    <w:rsid w:val="004E370B"/>
    <w:rsid w:val="004E4E1E"/>
    <w:rsid w:val="004F38E3"/>
    <w:rsid w:val="004F5935"/>
    <w:rsid w:val="004F5D94"/>
    <w:rsid w:val="004F6136"/>
    <w:rsid w:val="004F6F52"/>
    <w:rsid w:val="00501F44"/>
    <w:rsid w:val="00505E24"/>
    <w:rsid w:val="00510A92"/>
    <w:rsid w:val="005112BB"/>
    <w:rsid w:val="00512221"/>
    <w:rsid w:val="00512B24"/>
    <w:rsid w:val="00513307"/>
    <w:rsid w:val="00520A65"/>
    <w:rsid w:val="00521128"/>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E3632"/>
    <w:rsid w:val="005F03DD"/>
    <w:rsid w:val="005F4587"/>
    <w:rsid w:val="006008F0"/>
    <w:rsid w:val="00600BF5"/>
    <w:rsid w:val="00602111"/>
    <w:rsid w:val="00605E2B"/>
    <w:rsid w:val="0060737D"/>
    <w:rsid w:val="00607D99"/>
    <w:rsid w:val="006134D2"/>
    <w:rsid w:val="00616B9A"/>
    <w:rsid w:val="00621699"/>
    <w:rsid w:val="0062319E"/>
    <w:rsid w:val="0062469D"/>
    <w:rsid w:val="00631493"/>
    <w:rsid w:val="00631589"/>
    <w:rsid w:val="00635848"/>
    <w:rsid w:val="00640E02"/>
    <w:rsid w:val="00643324"/>
    <w:rsid w:val="00645884"/>
    <w:rsid w:val="00653A2C"/>
    <w:rsid w:val="00655A79"/>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439F"/>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7EFD"/>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61BC6"/>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2CC05"/>
  <w15:docId w15:val="{551F09AC-147C-4A73-A659-1A94938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E26E-7341-418A-8A09-FCACBB90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3455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28</cp:revision>
  <cp:lastPrinted>2019-07-29T06:35:00Z</cp:lastPrinted>
  <dcterms:created xsi:type="dcterms:W3CDTF">2019-07-31T04:55:00Z</dcterms:created>
  <dcterms:modified xsi:type="dcterms:W3CDTF">2019-08-07T06:44:00Z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